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GÉGÉNY</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Lajos Nagy</w:t>
            </w:r>
          </w:p>
          <w:p w:rsidR="00DB4822" w:rsidRDefault="00DB4822" w:rsidP="00E11062">
            <w:pPr>
              <w:pStyle w:val="Konzulensek"/>
            </w:pPr>
            <w:r w:rsidRPr="00DB4822">
              <w:t>adjunct,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 ANALYSIS OF SOME IMPORTANT HUNGARIAN SHARES AND MAKING OF OPTIMAL PORTFOLIO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stock market; shares; risk; financial crisis; optimal portfolio</w:t>
      </w:r>
      <w:r>
        <w:t xml:space="preserve"/>
      </w:r>
    </w:p>
    <w:p>
      <w:pPr>
        <w:widowControl w:val="on"/>
        <w:pBdr/>
        <w:spacing w:before="240" w:after="240" w:line="240" w:lineRule="auto"/>
        <w:ind w:left="0" w:right="0"/>
        <w:jc w:val="left"/>
      </w:pPr>
      <w:r>
        <w:rPr>
          <w:color w:val="000000"/>
          <w:sz w:val="24"/>
          <w:szCs w:val="24"/>
        </w:rPr>
        <w:t xml:space="preserve">The most important shares in the Hungarian stock market include EGIS, Richter, MOL, OTP and MTelekom. My general objective is to analyze the prices, the long term profitability and the comparison of these shares by statistical tools. The related tasks include establishing a share price database, acquiring dividends data and carrying out descriptive statistical and time series analysis. My specific objective is to find out what rate is necessary to buy shares to minimize the risk. The related tasks include determining the optimal rate of shares at a required level of income. I want to analyze by sensitivity analysis how the different required levels of income affect the structure of portfolio and to show the impact on the risk. My calculation was made for the period of 2005-2012 based on the historical database of BSE and the announcement of business organizations. I calculated the profitability of shares during the period under review and compared the variation of the risks. I analyzed the optimal share structure with minimal risk by quadratic portfolio model at different required levels of income. It is concluded that the financial crisis in 2008 caused a massive disruption, a 30-67 % exchange rate fall was noted. The highest output (16, 58 %) could be reached by the shares of Egis in the average of 8 years, MTelekom had its worst performance (1, 59%). It is observed that higher level of income was associated with higher income variance so it entailed higher risk. OTP is out of tendency because the relatively low income (8, 2 %) is associated with the second highest variance (0, 19). During optimizing the structure of the portfolio, I specified the required level of income between 5-16,5 % on a 1 % scale. At the lower level of income (to 5-10 %), the portfolio involved Richter and Egis, MOL entered at 11 %, MTelekom got out of at 12 %, Egis also entered the optimal portfolio from 13 %. Increase in income was observed in parallel with continuous rise in risk. The income variance efficient curve indicates that there is no point in decreasing the required income below 12 % for a risk neutral decision maker because waiving of further income results in minimal decrease in risk.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23354">
    <w:multiLevelType w:val="hybridMultilevel"/>
    <w:lvl w:ilvl="0" w:tplc="30106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23354">
    <w:abstractNumId w:val="89523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737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