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KARÁSZI</w:t>
            </w:r>
          </w:p>
          <w:p w:rsidR="00C275A3" w:rsidRDefault="00A96AEC" w:rsidP="00C275A3">
            <w:pPr>
              <w:pStyle w:val="Hallgatokepzes"/>
            </w:pPr>
            <w:r>
              <w:t>Accountancy</w:t>
            </w:r>
            <w:r>
              <w:br/>
            </w:r>
            <w:r w:rsidR="00E77B23">
              <w:t>MA, 4.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Patrícia Becsky-Nagy</w:t>
            </w:r>
          </w:p>
          <w:p w:rsidR="00DB4822" w:rsidRDefault="00DB4822" w:rsidP="00E11062">
            <w:pPr>
              <w:pStyle w:val="Konzulensek"/>
            </w:pPr>
            <w:r w:rsidRPr="00DB4822">
              <w:t>assistant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Liabilities of the balance sheet of enterprises financed by venture capital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venture capital, liabilities of the balance sheet, added value</w:t>
      </w:r>
      <w:r>
        <w:t xml:space="preserve"/>
      </w:r>
    </w:p>
    <w:p>
      <w:pPr>
        <w:widowControl w:val="on"/>
        <w:pBdr/>
        <w:spacing w:before="240" w:after="240" w:line="240" w:lineRule="auto"/>
        <w:ind w:left="0" w:right="0"/>
        <w:jc w:val="left"/>
      </w:pPr>
      <w:r>
        <w:rPr>
          <w:color w:val="000000"/>
          <w:sz w:val="24"/>
          <w:szCs w:val="24"/>
        </w:rPr>
        <w:t xml:space="preserve">Nowadays, research of the capital supply of enterprises has more and more important role. Venture capital investors are ready to give capital to promising firms, if those have a big growth potencial, even if there is a high risk. Their goal with the acquiring of ownership and with the active participation in the management of the firm is to take the operation of the enterprise in a direction. Through that, the value of the enterprise will grow, the invested capital becomes more valuable, and the investors will be able to sell it at the time of exit realizing a high yield.</w:t>
      </w:r>
      <w:r>
        <w:rPr>
          <w:color w:val="000000"/>
          <w:sz w:val="24"/>
          <w:szCs w:val="24"/>
        </w:rPr>
        <w:br/>
        <w:t xml:space="preserve">My goal was to examine, how they can reach this appreciation, how it is reflected in the balance sheet of the financed enterprises. I concentrate on the liabilities, because the own wealth of the enterprises is shown here, including the capital made available by the owners and also the operating profit. Here can be seen, how much the value of the capital, which was given by the investors, can be grown.</w:t>
      </w:r>
      <w:r>
        <w:rPr>
          <w:color w:val="000000"/>
          <w:sz w:val="24"/>
          <w:szCs w:val="24"/>
        </w:rPr>
        <w:br/>
        <w:t xml:space="preserve">To examine that, I have chosen three firms, which have received venture capital, and the investments were successfully closed. I have analysed the liabilities of the balance sheet of these firms with capital structure and capital efficiency indexes. Then, I have compared the results. The case studies are suitable for the illustration of the examined question, the effect of the venture capital and the investor’s presence on liabilities of the balance sheet can be seen in a measure, but general statements for the whole industry can not be drafted.</w:t>
      </w:r>
      <w:r>
        <w:rPr>
          <w:color w:val="000000"/>
          <w:sz w:val="24"/>
          <w:szCs w:val="24"/>
        </w:rPr>
        <w:br/>
        <w:t xml:space="preserve">During my examination I have found, that the investors can make venture capital available in different ways (rise of subscribed capital and placing into capital surplus, buying of convertible preferred stocks, bonds). They give a significant amount of capital to the enterprises in both ways, increasing the strength of capital, and they also aquire ownership. In addition, the capitalist’s personal assistance also contributes to the growth of the own wealth. The effect of that can be seen through the net profit. Howewer, decisions may be neccesary, which have short-term unfavourable effect on the capital structure, but these are advantageous long-term. It is important too, that in case of long-term investments, the change of economic situation can also be a retarding force in the growth of the company’s value, and can hinder the capitalists in the fulfilment of the successful exit.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17702">
    <w:multiLevelType w:val="hybridMultilevel"/>
    <w:lvl w:ilvl="0" w:tplc="68049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17702">
    <w:abstractNumId w:val="103177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2159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