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PAPP ZSUZSA</w:t>
            </w:r>
          </w:p>
          <w:p w:rsidR="00C275A3" w:rsidRDefault="00A96AEC" w:rsidP="00C275A3">
            <w:pPr>
              <w:pStyle w:val="Hallgatokepzes"/>
            </w:pPr>
            <w:r>
              <w:t>Számvitel</w:t>
            </w:r>
            <w:r>
              <w:br/>
            </w:r>
            <w:r w:rsidR="00E77B23">
              <w:t>MA, 4. félév</w:t>
            </w:r>
          </w:p>
          <w:p w:rsidR="00C265CE" w:rsidRPr="009E5FF1" w:rsidRDefault="00E77B23" w:rsidP="00BA6BAF">
            <w:pPr>
              <w:pStyle w:val="Hallgatointezmeny-kar"/>
              <w:rPr>
                <w:b/>
                <w:caps/>
              </w:rPr>
            </w:pPr>
            <w:r>
              <w:t>Debreceni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Dékán Tamásné Dr. Orbán Ildikó</w:t>
            </w:r>
          </w:p>
          <w:p w:rsidR="00DB4822" w:rsidRDefault="00DB4822" w:rsidP="00BA6BAF">
            <w:pPr>
              <w:pStyle w:val="Konzulensektitulus"/>
            </w:pPr>
            <w:r w:rsidRPr="00DB4822">
              <w:t>egyetemi docens,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magyar számviteli szabályozás és a Nemzetközi Pénzügyi Beszámolási Standardok (IFRS) összehasonlítása az OTP Bank Nyrt. egyedi beszámolóin keresztül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IFRS; egyedi beszámoló, OTP Bank Nyrt.</w:t>
      </w:r>
      <w:r>
        <w:t xml:space="preserve"/>
      </w:r>
    </w:p>
    <w:p>
      <w:pPr>
        <w:widowControl w:val="on"/>
        <w:pBdr/>
        <w:spacing w:before="240" w:after="240" w:line="240" w:lineRule="auto"/>
        <w:ind w:left="0" w:right="0"/>
        <w:jc w:val="left"/>
      </w:pPr>
      <w:r>
        <w:rPr>
          <w:color w:val="000000"/>
          <w:sz w:val="24"/>
          <w:szCs w:val="24"/>
        </w:rPr>
        <w:t xml:space="preserve">A világgazdaságban az elmúlt években megfigyelhető erősödő globalizáció hatására a vállalati kapcsolatok kiszélesedése, a vállalkozások nemzetközi terjeszkedése, a tőke felgyorsult, határokat átívelő áramlása figyelhető meg. A nemzeti határok egyre inkább jelentőségüket vesztik, ugyanakkor az egyes országokban alkalmazott számviteli rendszerekben még mindig jelentős különbségek fedezhetőek fel. Ennek következtében a különböző országokban működő vállalatok más-más elveken alapuló, különböző tartalmú beszámolókat készítenek, így teljesítményük nehezen összehasonlítható. Ennél fogva alakult ki az igény egy nemzetközileg elfogadott szabványrendszer kialakítására, mely a Nemzetközi Pénzügyi Beszámolási Standardok (IFRS) rendszerén keresztül látszik megvalósulni.</w:t>
      </w:r>
      <w:r>
        <w:rPr>
          <w:color w:val="000000"/>
          <w:sz w:val="24"/>
          <w:szCs w:val="24"/>
        </w:rPr>
        <w:br/>
        <w:t xml:space="preserve">Dolgozatom célkitűzése a fent említett standardok Magyarországon alkalmazott számviteli szabályokkal történő összehasonlítása egy konkrét hitelintézet vonatkozásában. Munkám során szekunder adatgyűjtés segítségével vetem össze a Bank egyedi mérlegeiben szereplő egyes tételek két szabályrendszer szerinti értékeit, elemzem a köztük kialakuló különbségek okait, a megjelenítési, értékelési eljárásokban felfedezhető eltéréseket.</w:t>
      </w:r>
      <w:r>
        <w:rPr>
          <w:color w:val="000000"/>
          <w:sz w:val="24"/>
          <w:szCs w:val="24"/>
        </w:rPr>
        <w:br/>
        <w:t xml:space="preserve">Az összehasonlító elemzés során törekedtem a mérleg azon tételeinek vizsgálatára, melyek a legmeghatározóbb szerepet játsszák az eltérések kialakulásában. Eszközoldalon így a pénzügyi eszközök, leányvállalatokban lévő befektetések, valamint az immateriális javak értékei között lévő különbségek bemutatására koncentráltam. Pénzügyi eszközök esetében az IFRS szerinti valós értékelés, különböző besorolási és értékelési szempontok eredményezik az itt megjelenített tételek eltérő összegeit. A leányvállalatokban, társult vállalkozásokban és egyéb befektetésekben lévő legfőbb különbség egyben az immateriális javak eltérő értékeit magyarázó tétel is, mely a goodwill (üzleti vagy cégérték) két szabályrendszer szerinti differens kezeléséből fakad. Forrásoldalon az egyéb kötelezettségek és a saját tőke értékeiben keresendők az eltérések főbb forrásai, melyek a céltartalékok, osztalékok, származékos ügyletek különböző megjelenítéséből, a saját tőke más-más összetételéből adódnak.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136709">
    <w:multiLevelType w:val="hybridMultilevel"/>
    <w:lvl w:ilvl="0" w:tplc="375726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136709">
    <w:abstractNumId w:val="151367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76165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