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 PAPP</w:t>
            </w:r>
          </w:p>
          <w:p w:rsidR="00C275A3" w:rsidRDefault="00A96AEC" w:rsidP="00C275A3">
            <w:pPr>
              <w:pStyle w:val="Hallgatokepzes"/>
            </w:pPr>
            <w:r>
              <w:t>Accountancy</w:t>
            </w:r>
            <w:r>
              <w:br/>
            </w:r>
            <w:r w:rsidR="00E77B23">
              <w:t>MA, 4.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Ildikó Orbán Mrs. Tamás Dékán</w:t>
            </w:r>
          </w:p>
          <w:p w:rsidR="00DB4822" w:rsidRDefault="00DB4822" w:rsidP="00E11062">
            <w:pPr>
              <w:pStyle w:val="Konzulensek"/>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comparison of the Hungarian accounting regulation and the International Financial Reporting Standards (IFRS) through the separate financial statements of OTP Bank Plc.</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IFRS; separate financial statement; OTP Bank Plc.</w:t>
      </w:r>
      <w:r>
        <w:t xml:space="preserve"/>
      </w:r>
    </w:p>
    <w:p>
      <w:pPr>
        <w:widowControl w:val="on"/>
        <w:pBdr/>
        <w:spacing w:before="240" w:after="240" w:line="240" w:lineRule="auto"/>
        <w:ind w:left="0" w:right="0"/>
        <w:jc w:val="left"/>
      </w:pPr>
      <w:r>
        <w:rPr>
          <w:color w:val="000000"/>
          <w:sz w:val="24"/>
          <w:szCs w:val="24"/>
        </w:rPr>
        <w:t xml:space="preserve">As a result of globalisation, which has gained strength in recent years, the world economy has witnessed an extension of corporate relations, an international expansion of enterprises and an accelerated cross-border flow of capital. While national borders lose more and more of their importance, the accounting systems used in the individual countries still reflect considerable differences. Consequently, companies existing in the different countries prepare reports that are based on different principles and have different contents, which is why their performance is difficult to compare. This gave rise to the need for an internationally accepted system of standards, which appears to emerge through the system of the International Financial Report-ing Standards (IFRS).</w:t>
      </w:r>
      <w:r>
        <w:rPr>
          <w:color w:val="000000"/>
          <w:sz w:val="24"/>
          <w:szCs w:val="24"/>
        </w:rPr>
        <w:br/>
        <w:t xml:space="preserve">This thesis sets out to compare the above standards with the accounting rules used in Hungary in the case of a specific credit institution. Relying on secondary data, I compare the values of each item in the Bank’s individual balance sheets according to the two sets of rules and I analyse the reasons for their differences together with the differences in the procedures of presentation and evaluation.</w:t>
      </w:r>
      <w:r>
        <w:rPr>
          <w:color w:val="000000"/>
          <w:sz w:val="24"/>
          <w:szCs w:val="24"/>
        </w:rPr>
        <w:br/>
        <w:t xml:space="preserve">In the comparative analysis, I looked at the balance items that play a key role in the development of the differences. Specifically, on the side of assets, I focused on the dif-ferences between the amounts of funds, investments in subsidiaries and intangible assets. The difference in the amount of funds is the result of the real evaluation according to the IFRS and a variety of classification and evaluation criteria. The main difference in subsidiaries, affiliated companies and other investments also explains the difference between intangible assets because goodwill is given a different treatment according to both sets of rules. On the side of liabilities, the main sources of differences are the obligations and equity, caused by the different presentation of provisions, dividends and derivative transactions and the different compositions of equity.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673549">
    <w:multiLevelType w:val="hybridMultilevel"/>
    <w:lvl w:ilvl="0" w:tplc="85882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673549">
    <w:abstractNumId w:val="676735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51488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