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DITTA</w:t>
            </w:r>
          </w:p>
          <w:p w:rsidR="00C275A3" w:rsidRDefault="00A96AEC" w:rsidP="00C275A3">
            <w:pPr>
              <w:pStyle w:val="Hallgatokepzes"/>
            </w:pPr>
            <w:r>
              <w:t>számvitel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Ágota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Zwack Unicum Nyrt. 2000. évi C. törvény és IFRS szerinti beszámolóinak összehasonlítása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IFRS, 2000. évi C. törvény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 témáját az IFRS-ek bevezetésének aktualitása miatt választottam, hiszen ez a terület még hazánkban is újnak számít, így számos kérdés merülhet fel azzal kapcsolatban, hogy miként befolyásolja a standardok alkalmazása egy vállalat vagyonát és eredményét, tulajdonképpen hogyan hat egy társaság beszámolójára és a döntéshozatalra az IFRS-ek alkalmazása.</w:t>
      </w:r>
      <w:r>
        <w:rPr>
          <w:color w:val="000000"/>
          <w:sz w:val="24"/>
          <w:szCs w:val="24"/>
        </w:rPr>
        <w:br/>
        <w:t xml:space="preserve">A dolgozat céljaként tűztem ki annak vizsgálatát, hogy a mérlegtételeket illetően a 2000. évi C. törvény és a nemzetközi standardok alapján milyen hasonlóságok és különbségek fedezhetők fel, illetve, hogy mindezek hogyan jelennek meg egy tőzsdei cég, a Zwack Unicum Nyrt. hazai szabályozás szerint készült és IFRS szerinti beszámolójában.</w:t>
      </w:r>
      <w:r>
        <w:rPr>
          <w:color w:val="000000"/>
          <w:sz w:val="24"/>
          <w:szCs w:val="24"/>
        </w:rPr>
        <w:br/>
        <w:t xml:space="preserve">Mindezek vizsgálatához, először egy rövid elméleti áttekintést készítettem, majd a Zwack Unicum Nyrt. rövid bemutatása után a társaság mérlegtételeinek elemzésére helyeztem a hangsúlyt. Az elemzéshez a Társaság 2013/14. évi hazai szabályozás alapján készült egyedi beszámolóját és IFRS szabályozás alapján készült egyedi beszámolóját használtam fel. Ahhoz, hogy a magyar és IFRS szabályozás közötti eltérések szembetűnőek és szemléletesek legyenek, a Társaság mérlegtételein belül a tárgyi eszközök, saját tőke, céltartalék, illetve az adófizetési kötelezettség megjelenítését, értékelését elemeztem. Ezeket követően a következtetések, javaslatok során arra tértem ki, hogy az eltérő számviteli rendszerek alkalmazása mennyiben változtatja meg egy társaság beszámolóját, ezáltal hogyan hat a döntéshozatalra, és hogyan befolyásolja a befektetők általi megítélését.</w:t>
      </w:r>
      <w:r>
        <w:rPr>
          <w:color w:val="000000"/>
          <w:sz w:val="24"/>
          <w:szCs w:val="24"/>
        </w:rPr>
        <w:br/>
        <w:t xml:space="preserve">Megállapítható, hogy mind a mérlegtételekkel kapcsolatban, mind az adó elszámolásával és megjelenítésével kapcsolatban jelentősnek tekinthető különbségek adódnak. A dolgozatban ugyanazon cég, ugyanazon vagyonelemeit vizsgáltam, mégis eltérő a kép, amit az eltérő rendszerek a döntéshozatalhoz nyújtanak.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374174">
    <w:multiLevelType w:val="hybridMultilevel"/>
    <w:lvl w:ilvl="0" w:tplc="99276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374174">
    <w:abstractNumId w:val="993741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95582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