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DITTA SIMON</w:t>
            </w:r>
          </w:p>
          <w:p w:rsidR="00C275A3" w:rsidRDefault="00A96AEC" w:rsidP="00C275A3">
            <w:pPr>
              <w:pStyle w:val="Hallgatokepzes"/>
            </w:pPr>
            <w:r>
              <w:t>accounting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Ágota Kiss</w:t>
            </w:r>
          </w:p>
          <w:p w:rsidR="00DB4822" w:rsidRDefault="00DB4822" w:rsidP="00E11062">
            <w:pPr>
              <w:pStyle w:val="Konzulensek"/>
            </w:pPr>
            <w:r w:rsidRPr="00DB4822">
              <w:t>PhD,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COMPARISON OF THE FINANCIAL STATEMENTS OF ZWACK UNICUM NYRT. BASED ON THE ACT C OF 2000 ON ACCOUNTING AND INTERNATIONAL FINANCIAL REPORTING STANDARDS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IFRS, Act C of 2000 on accounting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chose the introduction of the IFRS as the topic of my study since it is a new field in Hungary, therefore many questions can arise on how the use of standards influence the assets and financial performance of a company. One of these is how the use of standards affect the financial statements and decision-making of a company.</w:t>
      </w:r>
      <w:r>
        <w:rPr>
          <w:color w:val="000000"/>
          <w:sz w:val="24"/>
          <w:szCs w:val="24"/>
        </w:rPr>
        <w:br/>
        <w:t xml:space="preserve">The objective of this study is to analyse the similarities and differences that arise when statements of financial position are made based on both the Act C of 2000 on Accounting and the International Financial Reporting Standards In addition I analysed how these similarities and differences appear in the two types of the financial statements of the Zwack Unicum Nyrt. As an introduction of my paper I wrote a short theoretical review, then introduced the Zwack Unicum Nyrt as well. I emphasized the analysis of the balance sheet components for which I used the financial statements of the year 2013/14 according to the Act C of 2000 on Accounting and the International Financial Reporting Standards. To demonstrate the differences between the Hungarian system and IFRSs I analysed the recognition and measurement of the non-current assets, the owners’ equity, the provisions and the income taxes. Finally as conclusion and also as a suggestion I wrote about how the different accounting systems change the financial statements of a company, how this affects the decision-making and the investors’ judgement on the company.</w:t>
      </w:r>
      <w:r>
        <w:rPr>
          <w:color w:val="000000"/>
          <w:sz w:val="24"/>
          <w:szCs w:val="24"/>
        </w:rPr>
        <w:br/>
        <w:t xml:space="preserve">As the consequence of my inquiries I found that there are significant differences regarding the recognition and measurement of the components of financial statements and income taxes. In this study I analysed the same components of assets of the same company, however, the aspects the different systems offer for the decision-making are different.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81239">
    <w:multiLevelType w:val="hybridMultilevel"/>
    <w:lvl w:ilvl="0" w:tplc="32735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81239">
    <w:abstractNumId w:val="88981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624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