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SZÁNTAI ALEXANDRA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Dékán Tamásné Dr. Orbán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Pénzügyi Beszámolási Standardok és a Magyar Számviteli Törvény eredménykimutatásainak összehasonlítása a Danubius Hotels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számvitel; nemzetközi; IFRS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számvitelről szóló 2000. évi C. törvényt (a továbbiakban Sztv.), illetve a Nemzetközi Pénzügyi Beszámolási Standardokat (International Financial Reporting Standards, a továbbiakban IFRS) hasonlítom össze a Danubius Szálloda és Gyógyüdülő Nyrt. magyar törvény szerint készült eredménykimutatását, illetve a Danubius Hotels Group IFRS-ek szerint készült eredménykimutatását alapul véve.</w:t>
      </w:r>
      <w:r>
        <w:rPr>
          <w:color w:val="000000"/>
          <w:sz w:val="24"/>
          <w:szCs w:val="24"/>
        </w:rPr>
        <w:br/>
        <w:t xml:space="preserve">Dolgozatom első részében ismertetem az Sztv. előírásait a beszámoló elkészítésére, azon belül az eredménykimutatás összeállítására vonatkozóan. Ezt követően bemutatásra kerülnek az IFRS kialakulásának és térnyerésének okai, a Keretelvek, valamint az eredménykimutatás összeállítása során előtérbe kerülő konkrét standardok.</w:t>
      </w:r>
      <w:r>
        <w:rPr>
          <w:color w:val="000000"/>
          <w:sz w:val="24"/>
          <w:szCs w:val="24"/>
        </w:rPr>
        <w:br/>
        <w:t xml:space="preserve">Az elméleti ismeretek prezentálása után a Danubius Hotels Group, azon belül annak meghatározó szegmense, a Danubius Szálloda és Gyógyüdülő Nyrt. bemutatása következik, melyet az eredménykimutatás tételeinek, összetételének elemzése követ.</w:t>
      </w:r>
      <w:r>
        <w:rPr>
          <w:color w:val="000000"/>
          <w:sz w:val="24"/>
          <w:szCs w:val="24"/>
        </w:rPr>
        <w:br/>
        <w:t xml:space="preserve">Az eredménykimutatások vizsgálata során figyelembe vettem az Sztv. alapján meghatározott eredménykategóriák kimutatásbeli sorrendjét. Így elemzésem során a működési eredményt határoztam meg elsőként, melyet a pénzügyi, majd a rendkívüli eredmény követ, s az adófizetés előtti, illetve utáni eredményen át végül meghatároztam a mérleg szerinti eredményt.</w:t>
      </w:r>
      <w:r>
        <w:rPr>
          <w:color w:val="000000"/>
          <w:sz w:val="24"/>
          <w:szCs w:val="24"/>
        </w:rPr>
        <w:br/>
        <w:t xml:space="preserve">Dolgozatom lezárásaként összegeztem a feltárt különbségeket, hasonlóságokat, melyeket táblázatos formátumban is szemléltetek.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21229">
    <w:multiLevelType w:val="hybridMultilevel"/>
    <w:lvl w:ilvl="0" w:tplc="80990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21229">
    <w:abstractNumId w:val="2852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030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