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MARKÓ DUSA</w:t>
            </w:r>
          </w:p>
          <w:p w:rsidR="00C275A3" w:rsidRDefault="00A96AEC" w:rsidP="00C275A3">
            <w:pPr>
              <w:pStyle w:val="Hallgatokepzes"/>
            </w:pPr>
            <w:r>
              <w:t>Military Economics</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Görgy Gávay</w:t>
            </w:r>
          </w:p>
          <w:p w:rsidR="00DB4822" w:rsidRDefault="00DB4822" w:rsidP="00E11062">
            <w:pPr>
              <w:pStyle w:val="Konzulensek"/>
            </w:pPr>
            <w:r w:rsidRPr="00DB4822">
              <w:t>College Instructor,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Comprehensive operating cost comparison in reference to the RÁBA H-18 and URAL-4320 logistic trucks, authorized by the Hungarian Defense forces and the TATRA T815 of the Czech Armed Forces.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treatise is to introduce the financial background of the logistic vehicle’s daily operation and the fiscal side of the maintenance systems in the framework of the Hungarian and the Czech armed forces. I introduce the mentioned financial background and the cost- efficiency of the vehicle’s operation through the analytical comparison of the occurent cost elements.</w:t>
      </w:r>
      <w:r>
        <w:rPr>
          <w:color w:val="000000"/>
          <w:sz w:val="24"/>
          <w:szCs w:val="24"/>
        </w:rPr>
        <w:br/>
        <w:t xml:space="preserve">The main goal of the research is the detailed recognition, comparison and introduction of the operating cost of logistic vehicles in the Hungarian and the Czech armies. The operating costs of both countries are introduced annually and applied to one run kilometer as well.</w:t>
      </w:r>
      <w:r>
        <w:rPr>
          <w:color w:val="000000"/>
          <w:sz w:val="24"/>
          <w:szCs w:val="24"/>
        </w:rPr>
        <w:br/>
        <w:t xml:space="preserve">In the first phase of my work I briefly introduce the maintenance systems and their content both in the Hungarian and Czech defence forces.</w:t>
      </w:r>
      <w:r>
        <w:rPr>
          <w:color w:val="000000"/>
          <w:sz w:val="24"/>
          <w:szCs w:val="24"/>
        </w:rPr>
        <w:br/>
        <w:t xml:space="preserve">The second part is concisely about the technical details and the designation of the three analyzed logistic trucks.</w:t>
      </w:r>
      <w:r>
        <w:rPr>
          <w:color w:val="000000"/>
          <w:sz w:val="24"/>
          <w:szCs w:val="24"/>
        </w:rPr>
        <w:br/>
        <w:t xml:space="preserve">The third chapter represents the cost elements in connection with the operation of the observed trucks, and it contains the costs, counted for one year and for one run kilometer as well.</w:t>
      </w:r>
      <w:r>
        <w:rPr>
          <w:color w:val="000000"/>
          <w:sz w:val="24"/>
          <w:szCs w:val="24"/>
        </w:rPr>
        <w:br/>
        <w:t xml:space="preserve">In the fourth section the formerly counted costs are being compared in the financial point of view in reference to the three different vehicles.</w:t>
      </w:r>
      <w:r>
        <w:rPr>
          <w:color w:val="000000"/>
          <w:sz w:val="24"/>
          <w:szCs w:val="24"/>
        </w:rPr>
        <w:br/>
        <w:t xml:space="preserve">According to the results of the comparison I draw the conclusion in connection with the maintenance and operating system’s cost efficiency in case of the two countries and the three different vehicles. The aim of my thesis is to represent the financial bearing of the vehicles operation and to scrutinize the possibilities of increasing cost-efficiency through the analyzing of the comparison mentioned above. In the summary I am trying to make a circumspect suggestion about the possibility of the most economical and efficient vehicle’s 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54090">
    <w:multiLevelType w:val="hybridMultilevel"/>
    <w:lvl w:ilvl="0" w:tplc="25033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54090">
    <w:abstractNumId w:val="56554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2697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