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LANCSÁK, TIBOR</w:t>
            </w:r>
          </w:p>
          <w:p w:rsidR="00C275A3" w:rsidRDefault="00A96AEC" w:rsidP="00C275A3">
            <w:pPr>
              <w:pStyle w:val="Hallgatokepzes"/>
            </w:pPr>
            <w:r>
              <w:t>International Relations MA</w:t>
            </w:r>
            <w:r>
              <w:br/>
            </w:r>
            <w:r w:rsidR="00E77B23">
              <w:t>BA, 1.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Bernek, Ágnes, CSc</w:t>
            </w:r>
          </w:p>
          <w:p w:rsidR="00DB4822" w:rsidRDefault="00DB4822" w:rsidP="00E11062">
            <w:pPr>
              <w:pStyle w:val="Konzulensek"/>
            </w:pPr>
            <w:r w:rsidRPr="00DB4822">
              <w:t>college 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Strategic Deterrence in the 21st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examines the roots of the opposition between Russia and the U.S. in the 21st century by keeping its focus in the dimension of strategic deterrence. With a research into the different interpretations of the two parties concerning world politics, the inquiry goes into how to conceptualize strategic deterrence in the 21st century. What are the present conclusions of the Kennan-doctrine dated 1946 that is still a strong basis of current U.S. foreign politics? What are the priorities for Russia to build a new foreign policy in the 21st century?</w:t>
      </w:r>
    </w:p>
    <w:p>
      <w:pPr>
        <w:widowControl w:val="on"/>
        <w:pBdr/>
        <w:spacing w:before="240" w:after="240" w:line="240" w:lineRule="auto"/>
        <w:ind w:left="0" w:right="0"/>
        <w:jc w:val="left"/>
      </w:pPr>
      <w:r>
        <w:rPr>
          <w:color w:val="000000"/>
          <w:sz w:val="24"/>
          <w:szCs w:val="24"/>
        </w:rPr>
        <w:t xml:space="preserve">The disciplinary basis of this paper is the work of Huth &amp; Allee on strategic deterrence, George and Nemeth on coercive diplomacy, Nalebuff on arms race and minimal nuclear deterrence, Krepon on stability-instability paradox. Arms race is conceptualized from a game theory perspective, using Nash equilibrium, Richardson’s continous change model, Stackelberg equilibrium and the Cyert &amp; DeGroot model.</w:t>
      </w:r>
    </w:p>
    <w:p>
      <w:pPr>
        <w:widowControl w:val="on"/>
        <w:pBdr/>
        <w:spacing w:before="240" w:after="240" w:line="240" w:lineRule="auto"/>
        <w:ind w:left="0" w:right="0"/>
        <w:jc w:val="left"/>
      </w:pPr>
      <w:r>
        <w:rPr>
          <w:color w:val="000000"/>
          <w:sz w:val="24"/>
          <w:szCs w:val="24"/>
        </w:rPr>
        <w:t xml:space="preserve">The analysis of the strategic nuclear forces of Russia and the U.S. examines how to apply the theory of strategic deterrence in the dimension of the two countries. Is the implementation of the New START Treaty connected to minimal nuclear deterrence?</w:t>
      </w:r>
    </w:p>
    <w:p>
      <w:pPr>
        <w:widowControl w:val="on"/>
        <w:pBdr/>
        <w:spacing w:before="240" w:after="240" w:line="240" w:lineRule="auto"/>
        <w:ind w:left="0" w:right="0"/>
        <w:jc w:val="left"/>
      </w:pPr>
      <w:r>
        <w:rPr>
          <w:color w:val="000000"/>
          <w:sz w:val="24"/>
          <w:szCs w:val="24"/>
        </w:rPr>
        <w:t xml:space="preserve">At the same time, the analysis of world politics goes into an inquiry on the effect the increasing role of emerging markets has on present structures of global governance. Is the increasing role of the emerging markets a problem and how is it represented in the U.S. and russian strategy on international institutions? What solution these strategies provide and what we can conclude for the dyad of opposion and cooperation, in the dimension of multilateral institutions?</w:t>
      </w:r>
    </w:p>
    <w:p>
      <w:pPr>
        <w:widowControl w:val="on"/>
        <w:pBdr/>
        <w:spacing w:before="240" w:after="240" w:line="240" w:lineRule="auto"/>
        <w:ind w:left="0" w:right="0"/>
        <w:jc w:val="left"/>
      </w:pPr>
      <w:r>
        <w:rPr>
          <w:color w:val="000000"/>
          <w:sz w:val="24"/>
          <w:szCs w:val="24"/>
        </w:rPr>
        <w:t xml:space="preserve">My hypothesis is, the turbulent changes in 21st century world politics result in a decline of strategic deterence and military opposition of Russia and the United States. On the other hand, by setting a strong demand to restructure present institutions of global governance, these changes call to increase the political cooperation between Russia and the United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81280">
    <w:multiLevelType w:val="hybridMultilevel"/>
    <w:lvl w:ilvl="0" w:tplc="73189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81280">
    <w:abstractNumId w:val="442812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74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