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ENIKŐ</w:t>
            </w:r>
          </w:p>
          <w:p w:rsidR="00C275A3" w:rsidRDefault="00A96AEC" w:rsidP="00C275A3">
            <w:pPr>
              <w:pStyle w:val="Hallgatokepzes"/>
            </w:pPr>
            <w:r>
              <w:t>Professeur de français</w:t>
            </w:r>
            <w:r>
              <w:br/>
            </w:r>
            <w:r w:rsidR="00E77B23">
              <w:t>MA, 5. semester</w:t>
            </w:r>
          </w:p>
          <w:p w:rsidR="00C265CE" w:rsidRPr="009E5FF1" w:rsidRDefault="00E77B23" w:rsidP="009763E0">
            <w:pPr>
              <w:pStyle w:val="Hallgatointezmeny-kar"/>
              <w:rPr>
                <w:b/>
                <w:caps/>
              </w:rPr>
            </w:pPr>
            <w:r>
              <w:t>Université de Szeged</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KOVÁCS Katalin</w:t>
            </w:r>
          </w:p>
          <w:p w:rsidR="00DB4822" w:rsidRDefault="00DB4822" w:rsidP="009763E0">
            <w:pPr>
              <w:pStyle w:val="Konzulensektitulus"/>
            </w:pPr>
            <w:r w:rsidRPr="00DB4822">
              <w:t>maître de conférences,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Les esquisses de Greuze et de Hubert Robert dans les Salons de Diderot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 travail a pour objectif de présenter la question de l’esquisse et le changement de la conception artistique à l’égard de celle-ci dans les Salons de Diderot entre 1761 et 1771. Il vise également à interroger le style de l’écriture de Diderot pour savoir s’il parvient à refléter le caractère esquissé des tableaux. Pour ce faire, nous nous concentrerons sur deux peintres qui ont exposé des ouvrages non-finis aux Salons : Jean-Baptiste Greuze et Hubert Robert.</w:t>
      </w:r>
      <w:r>
        <w:rPr>
          <w:color w:val="000000"/>
          <w:sz w:val="24"/>
          <w:szCs w:val="24"/>
        </w:rPr>
        <w:br/>
        <w:t xml:space="preserve">Dans la première partie, nous élucidons, à l’aide de l’Encyclopédie de Diderot et d’Alembert, les notions appartenant au champ sémantique du mot « esquisse », comme le « feu », l’ « imagination » et le « génie ». Ces notions sont en effet étroitement liées, car le génie met ses idées sur le papier assez rapidement, avant que son feu interne ne disparaisse. De ce processus de création résulte un ouvrage inachevé que le spectateur peut finir par son imagination.</w:t>
      </w:r>
      <w:r>
        <w:rPr>
          <w:color w:val="000000"/>
          <w:sz w:val="24"/>
          <w:szCs w:val="24"/>
        </w:rPr>
        <w:br/>
        <w:t xml:space="preserve">La deuxième partie est consacrée aux distinctions conceptuelles, telles que l’« imperfection – perfection », l’« inachevé-achevé » et le « dessin-couleur ». Par l’analyse des comptes rendus des tableaux des deux peintres, nous démontrons qu’en avançant dans le temps, la conception artistique de Diderot tourne peu à peu des ouvrages non finis vers les peintures achevées.</w:t>
      </w:r>
      <w:r>
        <w:rPr>
          <w:color w:val="000000"/>
          <w:sz w:val="24"/>
          <w:szCs w:val="24"/>
        </w:rPr>
        <w:br/>
        <w:t xml:space="preserve">Enfin, dans la troisième partie, nous nous concentrons sur la manière dont le caractère fragmentaire des esquisses se reflète dans le style d’écriture des Salons. L’objectif de Diderot est de créer un style correspondant au caractère du tableau. L’analyse des esquisses montre que la différence entre la description des ouvrages de Greuze et ceux de Robert est bien palpable. Le texte que le critique consacre aux tableaux de Greuze est narratif, alors que son style d’écriture devient discontinu en parlant de ceux de Robert.</w:t>
      </w:r>
      <w:r>
        <w:rPr>
          <w:color w:val="000000"/>
          <w:sz w:val="24"/>
          <w:szCs w:val="24"/>
        </w:rPr>
        <w:br/>
        <w:t xml:space="preserve">Nous pouvons donc constater que dans ses premiers Salons, Diderot se montre enthousiaste pour l’inachevé mais, quelque peu paradoxalement, lors de la description des esquisses, il met l’accent sur la narrativité. Par contre, lorsqu’il commence à perdre son intérêt pour le non-fini, il essaie tout de même de le suivre par son style d’écriture fragmentaire.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4517">
    <w:multiLevelType w:val="hybridMultilevel"/>
    <w:lvl w:ilvl="0" w:tplc="68515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4517">
    <w:abstractNumId w:val="98664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798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