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MOLNÁR</w:t>
            </w:r>
          </w:p>
          <w:p w:rsidR="00C275A3" w:rsidRDefault="00A96AEC" w:rsidP="00C275A3">
            <w:pPr>
              <w:pStyle w:val="Hallgatokepzes"/>
            </w:pPr>
            <w:r>
              <w:t>Enseignant des langues anglaise et francaise</w:t>
            </w:r>
            <w:r>
              <w:br/>
            </w:r>
            <w:r w:rsidR="00E77B23">
              <w:t>MA, 5. semester</w:t>
            </w:r>
          </w:p>
          <w:p w:rsidR="00C265CE" w:rsidRPr="009E5FF1" w:rsidRDefault="00E77B23" w:rsidP="009763E0">
            <w:pPr>
              <w:pStyle w:val="Hallgatointezmeny-kar"/>
              <w:rPr>
                <w:b/>
                <w:caps/>
              </w:rPr>
            </w:pPr>
            <w:r>
              <w:t>Université de Szeged</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Kovács</w:t>
            </w:r>
          </w:p>
          <w:p w:rsidR="00DB4822" w:rsidRDefault="00DB4822" w:rsidP="009763E0">
            <w:pPr>
              <w:pStyle w:val="Konzulensektitulus"/>
            </w:pPr>
            <w:r w:rsidRPr="00DB4822">
              <w:t>Maître de conférences,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Enchantement sans baguette magique: le merveilleux, l'enchantement et la magie dans l'oeuvre d'Antoine Watteau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Dans notre travail, nous nous mettons à la recherche du merveilleux, de l’enchantement et de la magie, et nous illustrons à l’exemple des œuvres de Jean-Antoine Watteau comment ils apparaissent dans la peinture française de la première moitié du XVIII</w:t>
      </w:r>
      <w:r>
        <w:rPr>
          <w:color w:val="000000"/>
          <w:position w:val="4"/>
          <w:sz w:val="21"/>
          <w:szCs w:val="21"/>
          <w:vertAlign w:val="superscript"/>
        </w:rPr>
        <w:t xml:space="preserve">e</w:t>
      </w:r>
      <w:r>
        <w:rPr>
          <w:color w:val="000000"/>
          <w:sz w:val="24"/>
          <w:szCs w:val="24"/>
        </w:rPr>
        <w:t xml:space="preserve"> siècle. Pour ce faire, nous nous appuyons sur des encyclopédies, dictionnaires et des textes des écrivains d’art des XVII</w:t>
      </w:r>
      <w:r>
        <w:rPr>
          <w:color w:val="000000"/>
          <w:position w:val="4"/>
          <w:sz w:val="21"/>
          <w:szCs w:val="21"/>
          <w:vertAlign w:val="superscript"/>
        </w:rPr>
        <w:t xml:space="preserve">e</w:t>
      </w:r>
      <w:r>
        <w:rPr>
          <w:color w:val="000000"/>
          <w:sz w:val="24"/>
          <w:szCs w:val="24"/>
        </w:rPr>
        <w:t xml:space="preserve"> et XVIII</w:t>
      </w:r>
      <w:r>
        <w:rPr>
          <w:color w:val="000000"/>
          <w:position w:val="4"/>
          <w:sz w:val="21"/>
          <w:szCs w:val="21"/>
          <w:vertAlign w:val="superscript"/>
        </w:rPr>
        <w:t xml:space="preserve">e</w:t>
      </w:r>
      <w:r>
        <w:rPr>
          <w:color w:val="000000"/>
          <w:sz w:val="24"/>
          <w:szCs w:val="24"/>
        </w:rPr>
        <w:t xml:space="preserve"> siècles, ainsi que sur des écrits des critiques d’art des époques suivantes, tout en tâchant de répondre à la question de savoir pourquoi les biographes de Watteau soulignent la présence du merveilleux et de l’enchantement dans ses œuvres, alors que celles-ci ne représentent ni fées, ni baguettes magiques. À partir de leur redécouverte au XVII</w:t>
      </w:r>
      <w:r>
        <w:rPr>
          <w:color w:val="000000"/>
          <w:position w:val="4"/>
          <w:sz w:val="21"/>
          <w:szCs w:val="21"/>
          <w:vertAlign w:val="superscript"/>
        </w:rPr>
        <w:t xml:space="preserve">e</w:t>
      </w:r>
      <w:r>
        <w:rPr>
          <w:color w:val="000000"/>
          <w:sz w:val="24"/>
          <w:szCs w:val="24"/>
        </w:rPr>
        <w:t xml:space="preserve"> siècle, les éléments merveilleux se retrouvent en effet dans la littérature, le théâtre et la musique de l’époque, dans les « arts voisins » donc qui ont bien influencé la peinture. Les motifs et les termes d’origine mythologique et chrétienne ont influé directement et, à travers la commedia dell’arte, aussi indirectement sur le jeune peintre qui était pourtant également un fervent admirateur de la nature. Sur ses toiles, nous voyons des figures et des paysages vraisemblables qui montrent cependant un monde imaginaire et idéal, avec des jeunes amoureux et des bergers heureux. Les peintures de Watteau deviennent alors merveilleuses grâce à l’illusion, susceptible de rendre crédible au spectateur les scènes qui sont en réalité improbables.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90603">
    <w:multiLevelType w:val="hybridMultilevel"/>
    <w:lvl w:ilvl="0" w:tplc="32368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90603">
    <w:abstractNumId w:val="60990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094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