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D. NAGY</w:t>
            </w:r>
          </w:p>
          <w:p w:rsidR="00C275A3" w:rsidRDefault="00A96AEC" w:rsidP="00C275A3">
            <w:pPr>
              <w:pStyle w:val="Hallgatokepzes"/>
            </w:pPr>
            <w:r>
              <w:t>General Humanities</w:t>
            </w:r>
            <w:r>
              <w:br/>
            </w:r>
            <w:r w:rsidR="00E77B23">
              <w:t>BA, 5.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Csaba Sarnyai</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the Church Acts of 2011-12 on the Hungarian Pentecostal Church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disquisition we made an attempt to demonstrate the different effects of the Church Act of 2011-12 on the Hungarian Pentecostal Church. Many small congregations, close to the pentecostal from a dogmatic view, saw the Pentecostal leaders about a cooperation, when they realised that they would lose their status as a church. These news and the readiness to help, made the Pentecosatal leaders change many things in their denomination.</w:t>
      </w:r>
      <w:r>
        <w:rPr>
          <w:color w:val="000000"/>
          <w:sz w:val="24"/>
          <w:szCs w:val="24"/>
        </w:rPr>
        <w:br/>
        <w:t xml:space="preserve">The essay is divided into 4 parts. In the first one we analyse the different Acts, and the direct reactions given by the churchleaders. In the second part we see the stuctural, organizational and syndical alterations made by the Pentecostal leaders, to be able to receive those smaller churches. In the third part we present the discussions between the Connection Committee and the representatives of the joining denominations. We discuss the problematic and non-problematic congregations differently, making a larger empahsis on the problematic ones. In the forth part we examine the relational developement and give examlpes to different ways of working together with the connected congregations.</w:t>
      </w:r>
      <w:r>
        <w:rPr>
          <w:color w:val="000000"/>
          <w:sz w:val="24"/>
          <w:szCs w:val="24"/>
        </w:rPr>
        <w:br/>
        <w:t xml:space="preserve">Firstly we lean on primer sources like reports form the National Presbyterial seats from 2010 to 2012, and the analised Acts. We also have to mention the interviews with key people made by the writer, which give us insight into the „harsh months”.</w:t>
      </w:r>
      <w:r>
        <w:rPr>
          <w:color w:val="000000"/>
          <w:sz w:val="24"/>
          <w:szCs w:val="24"/>
        </w:rPr>
        <w:br/>
        <w:t xml:space="preserve">As secunder sources we used some on-line press, and studies connected to the topic.</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96923">
    <w:multiLevelType w:val="hybridMultilevel"/>
    <w:lvl w:ilvl="0" w:tplc="55599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96923">
    <w:abstractNumId w:val="46096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045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