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CSIZMADIA</w:t>
            </w:r>
          </w:p>
          <w:p w:rsidR="00C275A3" w:rsidRDefault="00A96AEC" w:rsidP="00C275A3">
            <w:pPr>
              <w:pStyle w:val="Hallgatokepzes"/>
            </w:pPr>
            <w:r>
              <w:t>Slavic Studies</w:t>
            </w:r>
            <w:r>
              <w:br/>
            </w:r>
            <w:r w:rsidR="00E77B23">
              <w:t>MA, 1.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Gábor Balázs L. habil. PhD</w:t>
            </w:r>
          </w:p>
          <w:p w:rsidR="00DB4822" w:rsidRDefault="00DB4822" w:rsidP="009763E0">
            <w:pPr>
              <w:pStyle w:val="Konzulensektitulus"/>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"False friends" in the Bulgarian language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Due to the common origin of the Slavic language family, there are numerous words in these languages which have the same written form or pronounced more or less the same without phonological difference, but differ in meaning. This paper intends to present several words of this kind with etymological and semantic description compared to other Slavic languages. The analysis starts from the reconstructed word roots of the Proto Indo-European language through the separation of the common Old Church Slavic language, in order to disclose the cause of the different meanings of these so-called “false friends”. The aim of this study is giving a methodical grounding of a complex analysis of the Slavic faux-amis.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250436">
    <w:multiLevelType w:val="hybridMultilevel"/>
    <w:lvl w:ilvl="0" w:tplc="812786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250436">
    <w:abstractNumId w:val="782504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89413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