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REGINA CSEPI</w:t>
            </w:r>
          </w:p>
          <w:p w:rsidR="00C275A3" w:rsidRDefault="00A96AEC" w:rsidP="00C275A3">
            <w:pPr>
              <w:pStyle w:val="Hallgatokepzes"/>
            </w:pPr>
            <w:r>
              <w:t>Psychology</w:t>
            </w:r>
            <w:r>
              <w:br/>
            </w:r>
            <w:r w:rsidR="00E77B23">
              <w:t>BA, 3.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Zsuzsanna Kövi</w:t>
            </w:r>
          </w:p>
          <w:p w:rsidR="00DB4822" w:rsidRDefault="00DB4822" w:rsidP="009763E0">
            <w:pPr>
              <w:pStyle w:val="Konzulensektitulus"/>
            </w:pPr>
            <w:r w:rsidRPr="00DB4822">
              <w:t>assistant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Media and sexual objectification: the effect of advertisements on women's self-esteem and emotions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 of the current study was the research of the effects of objectifying advertisements on the self-esteem and emotional state of Hungarian women. Contrary to previous studies, this one concentrated on the negative effects of electronic advertisements. The randomised controlled trial-based study involved 94 Hungarian women, between the age of 18 and 60. 5. In an online-survey the participants were divided into 2 groups.The experimental group watched 6, objectifying advertisements but the control group didn’t watch any advertisements. This task was followed by the completion of 4 different scales which measured self-esteem, positive-negative affects and physical appearance state anxiety. Furthermore, both groups completed a scale, which is associated with the negative effects of objectification. The Objectified Body Consciousness Scale (OBCS) has 3 subscales: body monitoring, body shame and appearance control beliefs. During the study, the Hungarian adaption of the scale was validated with high reliability scores. According to my hypotheses, women belonging to the experimental group were going to have a more negative self-image, be in a more negative affective state, and have higher physical appearance state anxiety. Nevertheless, statistical analysises didn't show any significant difference between the two groups. This means that in this sample the hypotheses couldn't be verified. However, the validated OBCS represents the maintenance of 3 negative consequences: body monitoring, body shame and appearance control beliefs. Furthermore, different interaction effects could also be observed. Between body monitoring and the group effect a tendency interaction was detected. It means that the more the members of the experimental group are prone to body-monitoring the more they tend to be in a negative affective scale. Furthermore, another surprising interaction effect modified the hypotheses and requires further studies. This result showed that the participants in the experimental group who have higher body shame scores have lower scores on the physical appearance anxiety state scales. In conclusion, according to the results of the OBCS, objectification and trait self-objectification tend to appear in Hungarian women and this suggests the negative effects of media advertisements and justifies the need of further studies. The most significant result of the study is the Hungarian adaption of the OBCS, which can be used in further Hungarian-language studies.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87215">
    <w:multiLevelType w:val="hybridMultilevel"/>
    <w:lvl w:ilvl="0" w:tplc="65876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87215">
    <w:abstractNumId w:val="165872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737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