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HARMATI</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Fruzsina Albert</w:t>
            </w:r>
          </w:p>
          <w:p w:rsidR="00DB4822" w:rsidRDefault="00DB4822" w:rsidP="00E11062">
            <w:pPr>
              <w:pStyle w:val="Konzulensek"/>
            </w:pPr>
            <w:r w:rsidRPr="00DB4822">
              <w:t>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are we coming from, where are we heading for?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stated new trend of child protection, namely fosterage instead of accommodate children in state institutions and the significant number of recently published reports about children’s homes led me to choose the monitoring of children/young adults between the ages of 12 and 18 living permanently or temporarily in children’s homes. A large number of issued articles emphasised the problems of teenagers living in children’s homes. I would like to attend to whether appears that much of a difference in children’s philosophye and behavior growing up in state custodies or in their own family. Based on these, the study involves the criminal behavior, victimization, alcohol and drug consumption of the participants.</w:t>
      </w:r>
    </w:p>
    <w:p>
      <w:pPr>
        <w:widowControl w:val="on"/>
        <w:pBdr/>
        <w:spacing w:before="240" w:after="240" w:line="240" w:lineRule="auto"/>
        <w:ind w:left="0" w:right="0"/>
        <w:jc w:val="left"/>
      </w:pPr>
      <w:r>
        <w:rPr>
          <w:color w:val="000000"/>
          <w:sz w:val="24"/>
          <w:szCs w:val="24"/>
        </w:rPr>
        <w:t xml:space="preserve">The Youprev research (Youth deviance and youth violence) from 2012 formed the basis for my study and supported me a lot. Before the completion of my thesis I’ve spent half year on a daily basis in one of the biggest children’s home in Budapest in order to come to know how the institute works and gain insights into their daily routine. Methodologically I completed the Youprev database with my queried questionnaires and I explained the results by experiences gained during my field-work respectively the personal opinion of collaborators and people living in children’s homes.</w:t>
      </w:r>
    </w:p>
    <w:p>
      <w:pPr>
        <w:widowControl w:val="on"/>
        <w:pBdr/>
        <w:spacing w:before="240" w:after="240" w:line="240" w:lineRule="auto"/>
        <w:ind w:left="0" w:right="0"/>
        <w:jc w:val="left"/>
      </w:pPr>
      <w:r>
        <w:rPr>
          <w:color w:val="000000"/>
          <w:sz w:val="24"/>
          <w:szCs w:val="24"/>
        </w:rPr>
        <w:t xml:space="preserve">I did not discover any significant difference between young adults growing up in state custodies, specially in children’s homes and teenagers living with their families, apart from some extreme cases. Conversely according to the vocational care colleagues and participants, the actual system calls for a radical change such as create several types of children’s homes. The study confers the outcomes of the examined dimensions in detail, their explanations and the participants’ points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31059">
    <w:multiLevelType w:val="hybridMultilevel"/>
    <w:lvl w:ilvl="0" w:tplc="13791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31059">
    <w:abstractNumId w:val="46431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510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