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NATÁLIA NASZÁLYI</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Kmetty</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 of latent class analysis's effect in social sciences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paper’s goal is to show how latent class analysis works on a sample in the topic of social sciences. The reason for the subject is that in my opinion the method’s usage and spread would be necessary in the social sciences.</w:t>
      </w:r>
      <w:r>
        <w:rPr>
          <w:color w:val="000000"/>
          <w:sz w:val="24"/>
          <w:szCs w:val="24"/>
        </w:rPr>
        <w:br/>
        <w:t xml:space="preserve">In my essay I review the sample, which contains a smartvote portal’s - named SzavazatSzonda - data, that was recorded before parliamentary election in 2010. First, I analyzed the sample with the method of cluster analysis to compare it with the latent analysis. Later, I present the historic background, significant qualities, and conditions of the latent class analysis. Not only the steps of the analysis, but the interpretation of the results and the comparison with the cluster analysis are also show the need of the method’s spread.</w:t>
      </w:r>
      <w:r>
        <w:rPr>
          <w:color w:val="000000"/>
          <w:sz w:val="24"/>
          <w:szCs w:val="24"/>
        </w:rPr>
        <w:br/>
        <w:t xml:space="preserve">As a result, the differences among the groups, and the latent classes comparisons to the other variable are also prove the method’s importance. It can be said that the latent class analysis should be used more often in researches in social sciences.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92069">
    <w:multiLevelType w:val="hybridMultilevel"/>
    <w:lvl w:ilvl="0" w:tplc="50607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92069">
    <w:abstractNumId w:val="51492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340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