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NIKOLETTA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S.-Falusi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Biró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Akadémia, Ökológiai Kutatóközpont, Ökológiai és Botanikai Intézet, Funkcionális Ökológiai Osztály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Inváziós növényfajok elterjedése a Duna-Tisza közi homokháton, felhagyott kisparcellás mozaikok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sokféleség csökkenése napjaink globális problémája. Ennek egyik oka lehet az inváziós fajok terjedése és a tájhasználat-változás. E két tényező összefügghet, azonban erről az összefüggésről kevés adat áll rendelkezésünkre.</w:t>
      </w:r>
      <w:r>
        <w:rPr>
          <w:color w:val="000000"/>
          <w:sz w:val="24"/>
          <w:szCs w:val="24"/>
        </w:rPr>
        <w:br/>
        <w:t xml:space="preserve">Az inváziós fajok jobb kompetíciós képességüknek köszönhetően jellemzően emberi zavaráshoz kötődően jelennek meg. Ezt alapul véve arra kerestük a választ, hogy egy mintaterület tájhasználatának története (korábbi művelésének módja) és a terület inváziós fajokkal való fertőzöttsége, ill. a parlagregenerációban fontos fajok elterjedése között milyen kapcsolat áll fenn.</w:t>
      </w:r>
      <w:r>
        <w:rPr>
          <w:color w:val="000000"/>
          <w:sz w:val="24"/>
          <w:szCs w:val="24"/>
        </w:rPr>
        <w:br/>
        <w:t xml:space="preserve">A vizsgált területeket a Corona műholdfotók (US GIS NASA, Interspect Kft.) és az 1960-as évekből származó légifotók (www.fentrol.hu; FÖMI) alapján az ArcGIS 10.1 program segítségével határoltam le. A keresés során csak olyan területek kerültek kiválasztásra, amelyek az 1960-as években még kisparcellás művelés alatt álltak, de az 1980-as évek végére felhagyták őket. A szempontok alapján a Fülöpháza, Páhi és Pirtó településekhez közeli homokterületekre esett a választás. A felvételeket a területeket átszelő transzektek mentén 20 méterenként kijelölt 2,5 méter sugarú körökben Braun-Blanquet-módszerrel végeztük. Összesen 876 pont került kijelölésre, ebből 289 Fülöpházán, 289 Pirtónál, és 294 Bócsa közelében.</w:t>
      </w:r>
      <w:r>
        <w:rPr>
          <w:color w:val="000000"/>
          <w:sz w:val="24"/>
          <w:szCs w:val="24"/>
        </w:rPr>
        <w:br/>
        <w:t xml:space="preserve">A terepmunkát követően az említett fedvények alapján a lefektetett pontok mentén körberajzoltuk az egykori parcellahatárokat, és meghatároztuk az egykori művelési módjukat. A következő kategóriákat különítettük el: szántó, szőlő, gyümölcsös, erdő, gyep. Ezt minden mintavételi pont esetében megtettük.</w:t>
      </w:r>
      <w:r>
        <w:rPr>
          <w:color w:val="000000"/>
          <w:sz w:val="24"/>
          <w:szCs w:val="24"/>
        </w:rPr>
        <w:br/>
        <w:t xml:space="preserve">Az előzetes eredmények alapján a legnagyobb borítást produkáló, így homokon legnagyobb problémát okozó inváziós fajok a következők: selyemkóró, fehér akác, mirigyes bálványfa. Az ősgyepek és a parlagok között az inváziós és az őshonos növények borítása esetében is szignifikáns különbséget állapítottunk meg. A parlagokat összehasonlítva az egykori szőlők és szántók között áll fenn szignifikáns különbség. Az egykori szőlők területén szignifikánsan nagyobb az inváziós növényfajok borítása, mint az egykori szántókon, és szignifikánsan kisebb a parlagregenerációt jelző fajok aránya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07351">
    <w:multiLevelType w:val="hybridMultilevel"/>
    <w:lvl w:ilvl="0" w:tplc="75003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07351">
    <w:abstractNumId w:val="80307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526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