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NIKOLETTA KÁLMÁN</w:t>
            </w:r>
          </w:p>
          <w:p w:rsidR="00C275A3" w:rsidRDefault="00A96AEC" w:rsidP="00C275A3">
            <w:pPr>
              <w:pStyle w:val="Hallgatokepzes"/>
            </w:pPr>
            <w:r>
              <w:t>Engineering of Nature Conservation</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S.-Falusi PhD.</w:t>
            </w:r>
          </w:p>
          <w:p w:rsidR="00DB4822" w:rsidRDefault="00DB4822" w:rsidP="00E11062">
            <w:pPr>
              <w:pStyle w:val="Konzulensek"/>
            </w:pPr>
            <w:r w:rsidRPr="00DB4822">
              <w:t>assistant professor, SZIE MKK</w:t>
            </w:r>
          </w:p>
        </w:tc>
      </w:tr>
      <w:tr w:rsidR="00DB4822" w:rsidTr="00DB4822">
        <w:tc>
          <w:tcPr>
            <w:tcW w:w="9854" w:type="dxa"/>
          </w:tcPr>
          <w:p w:rsidR="00DB4822" w:rsidRPr="00DB4822" w:rsidRDefault="00DB4822" w:rsidP="004D7940">
            <w:pPr>
              <w:pStyle w:val="Konzulensek"/>
            </w:pPr>
            <w:r w:rsidRPr="00DB4822">
              <w:t>Marianna Biró PhD.</w:t>
            </w:r>
          </w:p>
          <w:p w:rsidR="00DB4822" w:rsidRDefault="00DB4822" w:rsidP="00E11062">
            <w:pPr>
              <w:pStyle w:val="Konzulensek"/>
            </w:pPr>
            <w:r w:rsidRPr="00DB4822">
              <w:t>research fellow,  Department of Functional Ecology, Institute of Ecology and Botany, MTA Centre for Ecological Research,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Spread of invasive plant species in abandoned fine-scale agricultural landscape (Kiskunság sand ridge)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Decline of biodiversity is a global problem nowadays. Two of the main causes are the land-use changes and the expansion of invasive species. However, we already have very few data to detect the relation of this two factors. Our aims were to find relations between the former land-use types and the amount of (1.) invasive alien species and (2.) the species having role in natural regeneration on sandy old fields.</w:t>
      </w:r>
      <w:r>
        <w:rPr>
          <w:color w:val="000000"/>
          <w:sz w:val="24"/>
          <w:szCs w:val="24"/>
        </w:rPr>
        <w:br/>
        <w:t xml:space="preserve">Three sampling areas had been chosen with similar abiotic conditions near to Fülöpháza, Páhi and Pirtó settlements in Kiskunság sand region, Hungary. All of them had been used formerly (in the 1960s) by extenziv, small-scale agriculture. The field parcels became abandoned by the end of 1980s. We depicted transects in these fine-scale mosaic landscapes of the three sampling areas on the basis of the Corona satellite images and aerial photographs of 1960s. For the comparison with neighbouring natural grasslands the transects had been extended to the natural open sand grassland as well (one third of the total length).</w:t>
      </w:r>
      <w:r>
        <w:rPr>
          <w:color w:val="000000"/>
          <w:sz w:val="24"/>
          <w:szCs w:val="24"/>
        </w:rPr>
        <w:br/>
        <w:t xml:space="preserve">The exact place of the sampling localities (in circles with 2.5 meters radius) was designated before the field work along the formerly delineated transects automaticaly in every 20 meters. Altogether 876 points were appointed. During the field work in the point localities we assessed with Braun-Blanquet methodology the coverage of the typical alien species and those important native species, which has an important role in the regeneration of sandy old fields.</w:t>
      </w:r>
      <w:r>
        <w:rPr>
          <w:color w:val="000000"/>
          <w:sz w:val="24"/>
          <w:szCs w:val="24"/>
        </w:rPr>
        <w:br/>
        <w:t xml:space="preserve">After the field work we generated the factor of former land-use type to the point localities. On the basis of the mentioned historical aerial and satellite images the borders of the agricultural parcels had been digitalized. Five former land-use category could be established, so the parcels were categorized into arable land, orchard, vine-yard,forest and grassland. This information was merged to every point localities.</w:t>
      </w:r>
      <w:r>
        <w:rPr>
          <w:color w:val="000000"/>
          <w:sz w:val="24"/>
          <w:szCs w:val="24"/>
        </w:rPr>
        <w:br/>
        <w:t xml:space="preserve">Our results show that the Ailantus altissima, Asclepias syriaca and Robinia pseudoacacia were in the highest frequency on the sandy area. Significant differences were experienced in the abundance of invasive and native species between the ancient type of grasslands and the old fields, respectively. By the comparison of different kinds of old fields (former vineyards and arable lands) we experienced significant difference in the dominance of invasive species In the meanwhile species indicating the regeneration had the lowest abundance in the vineyard parcels.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12468">
    <w:multiLevelType w:val="hybridMultilevel"/>
    <w:lvl w:ilvl="0" w:tplc="48295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12468">
    <w:abstractNumId w:val="49312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174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