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VERA BALOGH</w:t>
            </w:r>
          </w:p>
          <w:p w:rsidR="00C275A3" w:rsidRDefault="00A96AEC" w:rsidP="00C275A3">
            <w:pPr>
              <w:pStyle w:val="Hallgatokepzes"/>
            </w:pPr>
            <w:r>
              <w:t>Agricultural Biotechnology</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Lantos </w:t>
            </w:r>
          </w:p>
          <w:p w:rsidR="00DB4822" w:rsidRDefault="00DB4822" w:rsidP="00E11062">
            <w:pPr>
              <w:pStyle w:val="Konzulensek"/>
            </w:pPr>
            <w:r w:rsidRPr="00DB4822">
              <w:t>research fellow,  Cereal Research Non-Profit Ltd., Department of Biotechnology</w:t>
            </w:r>
          </w:p>
        </w:tc>
      </w:tr>
      <w:tr w:rsidR="00DB4822" w:rsidTr="00DB4822">
        <w:tc>
          <w:tcPr>
            <w:tcW w:w="9854" w:type="dxa"/>
          </w:tcPr>
          <w:p w:rsidR="00DB4822" w:rsidRPr="00DB4822" w:rsidRDefault="00DB4822" w:rsidP="004D7940">
            <w:pPr>
              <w:pStyle w:val="Konzulensek"/>
            </w:pPr>
            <w:r w:rsidRPr="00DB4822">
              <w:t>Dr. Erzsébet Kiss</w:t>
            </w:r>
          </w:p>
          <w:p w:rsidR="00DB4822" w:rsidRDefault="00DB4822" w:rsidP="00E11062">
            <w:pPr>
              <w:pStyle w:val="Konzulensek"/>
            </w:pPr>
            <w:r w:rsidRPr="00DB4822">
              <w:t>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colchicine treatment of various duration on in vitro anther cultures of triticale and analysis of genetic variability of the regenerants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DH (doubled haploid) technologies made it possible to produce homozygous line in only a few months, thereby drastically reducing the amount of time required, they have become the integral parts of modern breeding programs. With the help of DH technologies homozygous recombinant genotypes can be generated from heterozygous parents in only one generation. The in vitro production of haploid plants by means of androgenesis has a tremendous significance in plant breeding. The haploids can either undergo spontaneous rediploidization or the haploid chromosome set can be doubled by chemical treatment – like colchicine- to restore the diploid conditions.</w:t>
      </w:r>
    </w:p>
    <w:p>
      <w:pPr>
        <w:widowControl w:val="on"/>
        <w:pBdr/>
        <w:spacing w:before="240" w:after="240" w:line="240" w:lineRule="auto"/>
        <w:ind w:left="0" w:right="0"/>
        <w:jc w:val="left"/>
      </w:pPr>
      <w:r>
        <w:rPr>
          <w:color w:val="000000"/>
          <w:sz w:val="24"/>
          <w:szCs w:val="24"/>
        </w:rPr>
        <w:br/>
        <w:t xml:space="preserve">Nowadays triticale has an increasing significance in cereal breeding. Being the hybrid of wheat and rye, the triticale has valuable agronomic and nutritional features and is capable of exceeding the average yields of the parents under unfavourable soil and climatic conditions. Due to its excellent nutritional values such as its high protein content and the high proportion of methionine present, the triticale is both a fodder and crop plant of outstanding importance.</w:t>
      </w:r>
    </w:p>
    <w:p>
      <w:pPr>
        <w:widowControl w:val="on"/>
        <w:pBdr/>
        <w:spacing w:before="240" w:after="240" w:line="240" w:lineRule="auto"/>
        <w:ind w:left="0" w:right="0"/>
        <w:jc w:val="left"/>
      </w:pPr>
      <w:r>
        <w:rPr>
          <w:color w:val="000000"/>
          <w:sz w:val="24"/>
          <w:szCs w:val="24"/>
        </w:rPr>
        <w:br/>
        <w:t xml:space="preserve">In order to induce androgenesis, several triticale genotypes were used as donor spike to establish in vitro anther culture.</w:t>
      </w:r>
      <w:r>
        <w:rPr>
          <w:color w:val="000000"/>
          <w:sz w:val="24"/>
          <w:szCs w:val="24"/>
        </w:rPr>
        <w:br/>
        <w:t xml:space="preserve">As a part of my work I investigated the effect of colchicin on androgenetic processes by exposing the embryo-like structures to the alkaloid for different lengths of time. In order to determine the effectiveness of the technology the number of green and albino plants were observed as a percentage of the initial embryo-like structures as well as the fertility rate of the regenerated plants. Based on these figures the genotype dependency of the process can also be estimated.</w:t>
      </w:r>
    </w:p>
    <w:p>
      <w:pPr>
        <w:widowControl w:val="on"/>
        <w:pBdr/>
        <w:spacing w:before="240" w:after="240" w:line="240" w:lineRule="auto"/>
        <w:ind w:left="0" w:right="0"/>
        <w:jc w:val="left"/>
      </w:pPr>
      <w:r>
        <w:rPr>
          <w:color w:val="000000"/>
          <w:sz w:val="24"/>
          <w:szCs w:val="24"/>
        </w:rPr>
        <w:br/>
        <w:t xml:space="preserve">In addition, I also investigated the genetic variability of the regenerated plants by means of SSR markers. Relying on the markers the most promising genotypes can be selected in plant breeding programs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67961">
    <w:multiLevelType w:val="hybridMultilevel"/>
    <w:lvl w:ilvl="0" w:tplc="56620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67961">
    <w:abstractNumId w:val="702679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025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