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ANDREA NÉMETH</w:t>
            </w:r>
          </w:p>
          <w:p w:rsidR="00C275A3" w:rsidRDefault="00A96AEC" w:rsidP="00C275A3">
            <w:pPr>
              <w:pStyle w:val="Hallgatokepzes"/>
            </w:pPr>
            <w:r>
              <w:t>Agricultural Biotechnology</w:t>
            </w:r>
            <w:r>
              <w:br/>
            </w:r>
            <w:r w:rsidR="00E77B23">
              <w:t>MSc, 4. semester</w:t>
            </w:r>
          </w:p>
          <w:p w:rsidR="00C265CE" w:rsidRPr="009E5FF1" w:rsidRDefault="00E77B23" w:rsidP="00C275A3">
            <w:pPr>
              <w:pStyle w:val="Hallgatokepzes"/>
              <w:rPr>
                <w:b/>
                <w:caps/>
              </w:rPr>
            </w:pPr>
            <w:r>
              <w:t>Szent István University</w:t>
            </w:r>
            <w:r w:rsidR="00C275A3">
              <w:br/>
            </w:r>
            <w:r w:rsidR="00DB4822">
              <w:t>Faculty of Agricultural and Environmental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Szilárd Bodó</w:t>
            </w:r>
          </w:p>
          <w:p w:rsidR="00DB4822" w:rsidRDefault="00DB4822" w:rsidP="00E11062">
            <w:pPr>
              <w:pStyle w:val="Konzulensek"/>
            </w:pPr>
            <w:r w:rsidRPr="00DB4822">
              <w:t>associate professor, SZIE MKK</w:t>
            </w:r>
          </w:p>
        </w:tc>
      </w:tr>
      <w:tr w:rsidR="00DB4822" w:rsidTr="00DB4822">
        <w:tc>
          <w:tcPr>
            <w:tcW w:w="9854" w:type="dxa"/>
          </w:tcPr>
          <w:p w:rsidR="00DB4822" w:rsidRPr="00DB4822" w:rsidRDefault="00DB4822" w:rsidP="004D7940">
            <w:pPr>
              <w:pStyle w:val="Konzulensek"/>
            </w:pPr>
            <w:r w:rsidRPr="00DB4822">
              <w:t>Dr. Viktor Stéger</w:t>
            </w:r>
          </w:p>
          <w:p w:rsidR="00DB4822" w:rsidRDefault="00DB4822" w:rsidP="00E11062">
            <w:pPr>
              <w:pStyle w:val="Konzulensek"/>
            </w:pPr>
            <w:r w:rsidRPr="00DB4822">
              <w:t>research fellow,  National Agricultural Research and Innovation Centre, Agricultural Biotechnology Institute</w:t>
            </w:r>
          </w:p>
        </w:tc>
      </w:tr>
      <w:tr w:rsidR="00DB4822" w:rsidTr="00DB4822">
        <w:tc>
          <w:tcPr>
            <w:tcW w:w="9854" w:type="dxa"/>
          </w:tcPr>
          <w:p w:rsidR="00DB4822" w:rsidRPr="00DB4822" w:rsidRDefault="00DB4822" w:rsidP="004D7940">
            <w:pPr>
              <w:pStyle w:val="Konzulensek"/>
            </w:pPr>
            <w:r w:rsidRPr="00DB4822">
              <w:t>Dr. Ferenc Marincs</w:t>
            </w:r>
          </w:p>
          <w:p w:rsidR="00DB4822" w:rsidRDefault="00DB4822" w:rsidP="00E11062">
            <w:pPr>
              <w:pStyle w:val="Konzulensek"/>
            </w:pPr>
            <w:r w:rsidRPr="00DB4822">
              <w:t>senior research fellow,  National Agricultural Research and Innovation Centre, Agricultural Biotechnology Institute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Development of Mangalica breed-specific DNA marker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Mangalica, an indigenous Hungarian swine breed, has gained more and more popularity in the last few decades due to the breed’s conservation programs and the manufacturing of mangalica produces. In parallel with this, it also became the target of adulteration. To detect and prevent this, the MANGFOOD consortium developed and validated a DNA-based analytical system.</w:t>
      </w:r>
    </w:p>
    <w:p>
      <w:pPr>
        <w:widowControl w:val="on"/>
        <w:pBdr/>
        <w:spacing w:before="240" w:after="240" w:line="240" w:lineRule="auto"/>
        <w:ind w:left="0" w:right="0"/>
        <w:jc w:val="left"/>
      </w:pPr>
      <w:r>
        <w:rPr>
          <w:color w:val="000000"/>
          <w:sz w:val="24"/>
          <w:szCs w:val="24"/>
        </w:rPr>
        <w:br/>
        <w:t xml:space="preserve">The recent publication of several pig genomes gave us the opportunity to compare them with MANGFOOD Mangalica genome sequence data and to seek sequence-differences between Mangalica and other breeds. Twenty-five primers, designed from the pig genom, were tested on animals of 8 purebreds, 8 crossbreds and 6 other species using polymerase chain reaction (PCR). The PCR products were separated by agarose gel electrophoresis, and the animals were then genotyped of. As a result, eight predicted Mangalica-specific markers were assessed further, and it was found that one marker is able to separate Mangalica and other breeds by 99.83% probability.</w:t>
      </w:r>
    </w:p>
    <w:p>
      <w:pPr>
        <w:widowControl w:val="on"/>
        <w:pBdr/>
        <w:spacing w:before="240" w:after="240" w:line="240" w:lineRule="auto"/>
        <w:ind w:left="0" w:right="0"/>
        <w:jc w:val="left"/>
      </w:pPr>
      <w:r>
        <w:rPr>
          <w:color w:val="000000"/>
          <w:sz w:val="24"/>
          <w:szCs w:val="24"/>
        </w:rPr>
        <w:br/>
        <w:t xml:space="preserve">This marker (M3), combined with the previously developed markers by the MANGFOOD consortium, is suitable for accurate, reliable, quick and cost efficient DNA-based diagnostics. Although there are microsatellite (ZSOLNAI et al. 2006) and SNP-based (WILLKINSON et al., 2012, ZSOLNAI et al., 2013) analytical kits, the M3 marker could allow faster, easier and more cost efficient DNA diagnostics for the identification and tracking of Mangalica products. Such methodcould be useful for the food industry in controlling meat products to warrant customer’s safety, and it could also contribute to gene conservation, and genetic testing of pedigree animals.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194265">
    <w:multiLevelType w:val="hybridMultilevel"/>
    <w:lvl w:ilvl="0" w:tplc="329074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194265">
    <w:abstractNumId w:val="5519426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91987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