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BALOG</w:t>
            </w:r>
          </w:p>
          <w:p w:rsidR="00C275A3" w:rsidRDefault="00A96AEC" w:rsidP="00C275A3">
            <w:pPr>
              <w:pStyle w:val="Hallgatokepzes"/>
            </w:pPr>
            <w:r>
              <w:t>Wildlife Manager Engineering</w:t>
            </w:r>
            <w:r>
              <w:br/>
            </w:r>
            <w:r w:rsidR="00E77B23">
              <w:t>MSc, 5.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Árpád Hegyi</w:t>
            </w:r>
          </w:p>
          <w:p w:rsidR="00DB4822" w:rsidRDefault="00DB4822" w:rsidP="009763E0">
            <w:pPr>
              <w:pStyle w:val="Konzulensektitulus"/>
            </w:pPr>
            <w:r w:rsidRPr="00DB4822">
              <w:t>Senior Scientists, SZIE MKK</w:t>
            </w:r>
          </w:p>
        </w:tc>
      </w:tr>
      <w:tr w:rsidR="00DB4822" w:rsidTr="00DB4822">
        <w:tc>
          <w:tcPr>
            <w:tcW w:w="9854" w:type="dxa"/>
          </w:tcPr>
          <w:p w:rsidR="00DB4822" w:rsidRPr="00DB4822" w:rsidRDefault="00DB4822" w:rsidP="009763E0">
            <w:pPr>
              <w:pStyle w:val="Konzulenseknev"/>
            </w:pPr>
            <w:r w:rsidRPr="00DB4822">
              <w:t>Dr. Zoltán Bokor</w:t>
            </w:r>
          </w:p>
          <w:p w:rsidR="00DB4822" w:rsidRDefault="00DB4822" w:rsidP="009763E0">
            <w:pPr>
              <w:pStyle w:val="Konzulensektitulus"/>
            </w:pPr>
            <w:r w:rsidRPr="00DB4822">
              <w:t>Scientists, SZIE MKK</w:t>
            </w:r>
          </w:p>
        </w:tc>
      </w:tr>
      <w:tr w:rsidR="00DB4822" w:rsidTr="00DB4822">
        <w:tc>
          <w:tcPr>
            <w:tcW w:w="9854" w:type="dxa"/>
          </w:tcPr>
          <w:p w:rsidR="00DB4822" w:rsidRPr="00DB4822" w:rsidRDefault="00DB4822" w:rsidP="009763E0">
            <w:pPr>
              <w:pStyle w:val="Konzulenseknev"/>
            </w:pPr>
            <w:r w:rsidRPr="00DB4822">
              <w:t>Dr. Mátyás Cserháti</w:t>
            </w:r>
          </w:p>
          <w:p w:rsidR="00DB4822" w:rsidRDefault="00DB4822" w:rsidP="009763E0">
            <w:pPr>
              <w:pStyle w:val="Konzulensektitulus"/>
            </w:pPr>
            <w:r w:rsidRPr="00DB4822">
              <w:t>Assistant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aflatoxin-polluted fodder on carp's physiological process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aflatoxin B1 (AFB1) producer Aspergillus has appeared in Hungary in 2010. The intemperate weather, the technological errors and the infections of import products help the spreading of the aspergillus. In the feed materials the maximum of the AFB1 concentration is 20 µg/kg by the European Union’s decree. In practice liver damage, decrease of feed consuption, decreasing helding, caducity are showable in every ecological species which came into contact with aflatoxins but there are minimum data referring to freshwater fish species.</w:t>
      </w:r>
      <w:r>
        <w:rPr>
          <w:color w:val="000000"/>
          <w:sz w:val="24"/>
          <w:szCs w:val="24"/>
        </w:rPr>
        <w:br/>
        <w:t xml:space="preserve">Our aim was to feed carp with know concentration of AFB1 contaminated fodder and monitoring the effects of the toxin (deformation, caducity, gain in weight, weight loss, lack of appetite, mutations, etc.). The experimental sites were provided by the „Czikkhalas Halastavai Kft”.</w:t>
      </w:r>
      <w:r>
        <w:rPr>
          <w:color w:val="000000"/>
          <w:sz w:val="24"/>
          <w:szCs w:val="24"/>
        </w:rPr>
        <w:br/>
        <w:t xml:space="preserve">The experiments were taken in 6 small sized ponds, the area of one were averagely 828 m2. The control groups were placed in 2 ponds, and fed with toxin free fodder. The other 4 group were fed with know AFB1 concentration containing fodder. The physical and chemical aspects (water temperature, pH value, oxygen household) of the lakes were controlled every day and the feed consumption was measured daily. We aimed to set the AFB1 concentration to the allowed maximum level. During the 55 day long experiment the average daily AFB1 concentration was 20,5 µg/kg.</w:t>
      </w:r>
      <w:r>
        <w:rPr>
          <w:color w:val="000000"/>
          <w:sz w:val="24"/>
          <w:szCs w:val="24"/>
        </w:rPr>
        <w:br/>
        <w:t xml:space="preserve">At the end of the investigations he fish were harvested from the 6 ponds. The acquisitions index of the individuals of the different groups and the quantity were measured. Bloodsamples (whole blood, blood plasma), meatsamples, fatand liversamples from the individuals were taken randomly. Besides the examination of fish, the sediment of the ponds were also investigated for AFB1 accumulation.</w:t>
      </w:r>
      <w:r>
        <w:rPr>
          <w:color w:val="000000"/>
          <w:sz w:val="24"/>
          <w:szCs w:val="24"/>
        </w:rPr>
        <w:br/>
        <w:t xml:space="preserve">The result show there were no yield loss and total survival difference between the the control and the infected stocks besides feeding according to the accepted level of the Hungarian feed code. We used ELISA tests to analyze the different matrixes (sediment, blood, liver, fat) to define the concentration of AFB1. Serious liver damage was noticed among AFB1 treated fish groups.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29315">
    <w:multiLevelType w:val="hybridMultilevel"/>
    <w:lvl w:ilvl="0" w:tplc="63457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29315">
    <w:abstractNumId w:val="51729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825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