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SÁFRÁNY ANNA JÚLIA</w:t>
            </w:r>
          </w:p>
          <w:p w:rsidR="00C275A3" w:rsidRDefault="00A96AEC" w:rsidP="00C275A3">
            <w:pPr>
              <w:pStyle w:val="Hallgatokepzes"/>
            </w:pPr>
            <w:r>
              <w:t>Állattenyésztő mérnök BSc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tud. főmunkatárs,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tud. főmunkatárs,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Ősz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szilvásváradi pisztrángtelep sebespisztráng- tenyészállományának genetikai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sebes pisztráng (Salmo trutta m. fario) számos európai állományának genetikai vizsgálatát követően a faj öt fő evolúciós vonalát különítettek el (atlanti, dunai, mediterrán, adriai, márvány), amelyek földrajzi elterjedése is eltérő. További kutatások feltárták az őshonos és a betelepített vérvonalak hibridizációját különböző vízfolyásokban, és a hibridek természetes vizekbe telepítésével végrehajtott genetikai szennyezés problémáját. Mivel a Magyarországon élő populációk ilyen irányú felmérése az elmúlt években kezdődődött, így célul tűztük ki egy, ezidáig nem vizsgált magyarországi sebes pisztráng tenyészállomány genetikai hátterének feltárását.</w:t>
      </w:r>
      <w:r>
        <w:rPr>
          <w:color w:val="000000"/>
          <w:sz w:val="24"/>
          <w:szCs w:val="24"/>
        </w:rPr>
        <w:br/>
        <w:t xml:space="preserve">Vizsgálataink helyszíne a Szilvásváradon található pisztrángtelep volt. A telep sebes pisztráng tenyészállományát 2014 március 14-én mintáztuk, amely során az állomány 75 egyedét passzív mágneses azonosítóval (PIT tag) megjelöltük, és a genetikai analízishez szövetmintát gyűjtöttünk a halak farok alatti úszójából. DNS izolálás után a dunai és atlanti vonal elkülönítéséhez hét, a korábbi kutatások során már sikeresen alkalmazott genetikai markert használtunk. A mitokondriális DNS kontroll régióját, valamint a sejtmagi DNS-ben kódolt tejsav dehidrogenáz (LDH) és szomatolaktin (SL) gének egyes szakaszait PCR-RFLP analízissel vizsgáltuk, továbbá négy mikroszatellit lókusz (BFRO 002, OMM 1064, Ssa 408 uos, Sso SL 417) genotipizálását végeztük el.</w:t>
      </w:r>
      <w:r>
        <w:rPr>
          <w:color w:val="000000"/>
          <w:sz w:val="24"/>
          <w:szCs w:val="24"/>
        </w:rPr>
        <w:br/>
        <w:t xml:space="preserve">Az anyai öröklődésű mitokondriális DNS vizsgálati eredményei alapján az állomány kisebb hányadában jelentkezik a dunai haplotípus (23%), amely eloszlás a sejtmagi DNS markerek esetében is megfigyelhető (LDH: 21%, SL: 23%). A mikroszatellit lókuszok vizsgálata során szintén az atlanti (6-74%) és közös allélok (0-49%) nagyobb arányát tapasztaltuk egy kisebb mértékű dunai allélarány mellet (1-23%), azonban az OMM 1064, Ssa 408, Sso SL 417 lókuszok esetében nagy százalékban (6-16%) jelentek meg olyan allélok, melyeket ezidáig más országokban még nem publikáltak. A főbb populációgenetikai paraméterek alapján elmondható, hogy az állomány Hardy-Weinberg egyensúlyban van, az állomány egészét tekintve egészséges.</w:t>
      </w:r>
      <w:r>
        <w:rPr>
          <w:color w:val="000000"/>
          <w:sz w:val="24"/>
          <w:szCs w:val="24"/>
        </w:rPr>
        <w:br/>
        <w:t xml:space="preserve">A tanszéken folytatott vizsgálatok során hasonló eredményeket tapasztaltak a többi magyarországi helyszínen is. Elemzéseink során egyértelműen dunai egyed nem különíthető el, azonban az őshonos dunai génhányad aránya növelhető az egyedi azonosító rendszer segítségével elvégezhető tudatos, célzott keresztezésekkel.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291009">
    <w:multiLevelType w:val="hybridMultilevel"/>
    <w:lvl w:ilvl="0" w:tplc="317565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291009">
    <w:abstractNumId w:val="752910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48732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