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JÚLIA SÁFRÁNY</w:t>
            </w:r>
          </w:p>
          <w:p w:rsidR="00C275A3" w:rsidRDefault="00A96AEC" w:rsidP="00C275A3">
            <w:pPr>
              <w:pStyle w:val="Hallgatokepzes"/>
            </w:pPr>
            <w:r>
              <w:t>Animal Husbandry Engineering BSc</w:t>
            </w:r>
            <w:r>
              <w:br/>
            </w:r>
            <w:r w:rsidR="00E77B23">
              <w:t>BSc, 3.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Ákos Horváth</w:t>
            </w:r>
          </w:p>
          <w:p w:rsidR="00DB4822" w:rsidRDefault="00DB4822" w:rsidP="00E11062">
            <w:pPr>
              <w:pStyle w:val="Konzulensek"/>
            </w:pPr>
            <w:r w:rsidRPr="00DB4822">
              <w:t>senior research fellow, SZIE MKK</w:t>
            </w:r>
          </w:p>
        </w:tc>
      </w:tr>
      <w:tr w:rsidR="00DB4822" w:rsidTr="00DB4822">
        <w:tc>
          <w:tcPr>
            <w:tcW w:w="9854" w:type="dxa"/>
          </w:tcPr>
          <w:p w:rsidR="00DB4822" w:rsidRPr="00DB4822" w:rsidRDefault="00DB4822" w:rsidP="004D7940">
            <w:pPr>
              <w:pStyle w:val="Konzulensek"/>
            </w:pPr>
            <w:r w:rsidRPr="00DB4822">
              <w:t>Dr. Balázs Kovács</w:t>
            </w:r>
          </w:p>
          <w:p w:rsidR="00DB4822" w:rsidRDefault="00DB4822" w:rsidP="00E11062">
            <w:pPr>
              <w:pStyle w:val="Konzulensek"/>
            </w:pPr>
            <w:r w:rsidRPr="00DB4822">
              <w:t>senior research fellow, SZIE MKK</w:t>
            </w:r>
          </w:p>
        </w:tc>
      </w:tr>
      <w:tr w:rsidR="00DB4822" w:rsidTr="00DB4822">
        <w:tc>
          <w:tcPr>
            <w:tcW w:w="9854" w:type="dxa"/>
          </w:tcPr>
          <w:p w:rsidR="00DB4822" w:rsidRPr="00DB4822" w:rsidRDefault="00DB4822" w:rsidP="004D7940">
            <w:pPr>
              <w:pStyle w:val="Konzulensek"/>
            </w:pPr>
            <w:r w:rsidRPr="00DB4822">
              <w:t>Ágnes Ősz</w:t>
            </w:r>
          </w:p>
          <w:p w:rsidR="00DB4822" w:rsidRDefault="00DB4822" w:rsidP="00E11062">
            <w:pPr>
              <w:pStyle w:val="Konzulensek"/>
            </w:pPr>
            <w:r w:rsidRPr="00DB4822">
              <w:t>PhD student,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Genetic investigation of the Szilvásvárad brown trout broodstock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Following the analysis of several European populations of brown trout (Salmo trutta m. fario) the species was divided into five different evolutionary lineages (Atlantic, Danubian, Mediterranean, Adriatic, Marble) each with different geographical occurrence. Further studies showed the hybridization of native and introduced strains in natural streams, and the problem of genetic introgression caused by the introduction of non-native lineages from hatcheries. A monitoring of Hungarian populations started in the last few years and is still in progress. Based on this information our objective was to analyse the genetic background of a Hungarian broodstock.</w:t>
      </w:r>
      <w:r>
        <w:rPr>
          <w:color w:val="000000"/>
          <w:sz w:val="24"/>
          <w:szCs w:val="24"/>
        </w:rPr>
        <w:br/>
        <w:t xml:space="preserve">The location of our studies was the trout farm in Szilvásvárad. We sampled the brown trout broodstock of the hatchery on 14th March, 2014. Fish were anesthetized and fin clips were collected from 75 individuals. All fish were tagged with passive integrated radiotransponder (PIT) tags for subsequent identification. DNA was isolated for genetic analyses and previously described genetic markers were used to distinguish genotypes consistent with those of the Atlantic or Danubian lineages. The control region of mitochondrial DNA and in genomic DNA parts of lactate dehydrogenase (LDH) and somatolactin (SL) enzymes were analysed using the PCR-RFLP method. Furthermore, four microsatellite loci (BFRO 002, OMM 1064, Ssa 408 uos, SsoSL 417) were analysed, as well.</w:t>
      </w:r>
      <w:r>
        <w:rPr>
          <w:color w:val="000000"/>
          <w:sz w:val="24"/>
          <w:szCs w:val="24"/>
        </w:rPr>
        <w:br/>
        <w:t xml:space="preserve">The maternally inherited mtDNA results showed that the Danubian haplotype was carried by a minority (23%) of the stock. A nearly identical distribution was observed in the nuclear genome in case of the PCR-RFLP loci (LDH: 21%, SL: 23%). In case of the microsatellite loci, a high proportion of the Atlantic (6-74%) and common (0-49%) alleles and low proportion of the Danubian alleles (1-23%) were observed, although in case of OMM 1064, Ssa 408, Sso SL 417 loci we have found some alleles not reported earlier (6-16%)which could be characteristic of this population. Based on population genetics data, the broodstock is in Hardy-Weinberg equilibrium.</w:t>
      </w:r>
      <w:r>
        <w:rPr>
          <w:color w:val="000000"/>
          <w:sz w:val="24"/>
          <w:szCs w:val="24"/>
        </w:rPr>
        <w:br/>
        <w:t xml:space="preserve">Our previous studies showed similar proportions in other populations in Hungary. In the present study, individuals with a 100% fixation of the Danubian genotype were not found, however, the proportion of this genotype in the population can be increased by targeted crossbreeding using the individual identification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425156">
    <w:multiLevelType w:val="hybridMultilevel"/>
    <w:lvl w:ilvl="0" w:tplc="574048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425156">
    <w:abstractNumId w:val="964251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30057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