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EDIT ANIKÓ DÉNES</w:t>
            </w:r>
          </w:p>
          <w:p w:rsidR="00C275A3" w:rsidRDefault="00A96AEC" w:rsidP="00C275A3">
            <w:pPr>
              <w:pStyle w:val="Hallgatokepzes"/>
            </w:pPr>
            <w:r>
              <w:t>Food Engineer</w:t>
            </w:r>
            <w:r>
              <w:br/>
            </w:r>
            <w:r w:rsidR="00E77B23">
              <w:t>BSc, 7. semester</w:t>
            </w:r>
          </w:p>
          <w:p w:rsidR="00C265CE" w:rsidRPr="009E5FF1" w:rsidRDefault="00E77B23" w:rsidP="00C275A3">
            <w:pPr>
              <w:pStyle w:val="Hallgatokepzes"/>
              <w:rPr>
                <w:b/>
                <w:caps/>
              </w:rPr>
            </w:pPr>
            <w:r>
              <w:t>University of Szeged</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Dr. Miklósné Gábor</w:t>
            </w:r>
          </w:p>
          <w:p w:rsidR="00DB4822" w:rsidRDefault="00DB4822" w:rsidP="00E11062">
            <w:pPr>
              <w:pStyle w:val="Konzulensek"/>
            </w:pPr>
            <w:r w:rsidRPr="00DB4822">
              <w:t>emerita professor, SZTE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antioxidant activites of some beer with different analitical methods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task was to examine the antioxidant capacity of certain manufactured and handcrafted beers of mikro and makrobreweries in the trade market, basic beers and those combined with different fruit products. I used three methods in the antioxidant capacity analysis, namely, FRAP-method, TPC-method and DPPH-method. In the first two cases the equivalence of gallic acid was calibrated (in case of the FRAP-method calibration was also applied to L-asdcorbic acid). Handcrafted beers had higher antioxidant rate which originates from the fact that fruit concentrate was processed in their fruit products instead of fruit juice used in the samples of makrobreweries. As a conclusion of the analysis I have assessed that handcrafted beers showed higher rate of antioxidants than beers of large-scale corporate breweries in all cases.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064781">
    <w:multiLevelType w:val="hybridMultilevel"/>
    <w:lvl w:ilvl="0" w:tplc="363489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064781">
    <w:abstractNumId w:val="940647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12173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