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KOCSIS</w:t>
            </w:r>
          </w:p>
          <w:p w:rsidR="00C275A3" w:rsidRDefault="00A96AEC" w:rsidP="00C275A3">
            <w:pPr>
              <w:pStyle w:val="Hallgatokepzes"/>
            </w:pPr>
            <w:r>
              <w:t>Food Science and Technology Engineer</w:t>
            </w:r>
            <w:r>
              <w:br/>
            </w:r>
            <w:r w:rsidR="00E77B23">
              <w:t>MSc, 4.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ß-glucosidase producer Mucor corticolus filamentous fungi on the antioxidant properties of fruit pomace during solid state fermentation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study was to examine the effect of the β- glucosidase producer Mucor corticolus filamentous fungi on the phenol content and antioxidant quality of blackcurrant and jostaberry pomace during solid substrate fermentation. An additional goal was to determine the activity of the β-glucosidase enzyme activity of the fungi. Most of the phenolics, especially flavonoids can be found as glycosids in the plants. In this form they are water soluble but their bioavailability through the human gut is limited. β-glucosidase enzyme liberate free phenols so extraction after solid state fermentation will give an extract rich in valuable phytochemicals for human consumption.</w:t>
      </w:r>
      <w:r>
        <w:rPr>
          <w:color w:val="000000"/>
          <w:sz w:val="24"/>
          <w:szCs w:val="24"/>
        </w:rPr>
        <w:br/>
        <w:t xml:space="preserve">During the fermentation at the same time as the fungi started to grow the production of β- glucosidase enzyme started also, at the 5th and 8th day for blackcurrant and jostaberry pomace. At the beginning of the enzyme production, total phenolic content and the antioxidant activity of both pomace reached their maximum level, which was later followed by a slight decrease. The free radical scavenging activity showed only little changes throughout the fermentation process however a slight increase could be detected after the start of the production of the enzyme. On the other hand the total anthocyanin content showed constant decrease between the measurements. The total anthocyanin content decrease is in correlation with the total phenolic decrease, because the anthocyanins made nearly 10% of the total phenolic content of both fruit.</w:t>
      </w:r>
      <w:r>
        <w:rPr>
          <w:color w:val="000000"/>
          <w:sz w:val="24"/>
          <w:szCs w:val="24"/>
        </w:rPr>
        <w:br/>
        <w:t xml:space="preserve">Results of our study are different from the literary data. There was no real correlation between enzyme activity and the increase of the free phenolic content. Only at the start of the enzyme production could we observe higher quantity of free phenolics. The most likely explanation is that other enzymes, for example polyphenoloxidases were also produced, and they have degraded the liberated phenols. Based on our examination we found that it is possible to enrich the blackcurrant and jostaberry pomace with free, bioavailable phenol antioxidants by using Mucor corticolus solid substrate fermentation, but the fermentation should be stopped at the optimum time point. It is recommended to continue our measurements by treatment with purified enzyme.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97905">
    <w:multiLevelType w:val="hybridMultilevel"/>
    <w:lvl w:ilvl="0" w:tplc="29155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97905">
    <w:abstractNumId w:val="84897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920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