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RITA FULOP</w:t>
            </w:r>
          </w:p>
          <w:p w:rsidR="00C275A3" w:rsidRDefault="00A96AEC" w:rsidP="00C275A3">
            <w:pPr>
              <w:pStyle w:val="Hallgatokepzes"/>
            </w:pPr>
            <w:r>
              <w:t>Agrobusiness and Rural Development Engineer </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Ágota Panyor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boxful of confidence or Community Supported Agriculture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have investigated the Community Supported Agriculture. Within which especially two types, the share farms and the community shopping. During my secondary research I got a comprehensive picture of the types of the Community Supported Agriculture and from the substance of the system. During my primary research I took an interview of the farmer Évkerék Ökotanya in Balástya and with the leader of Szatyorbolt in Budapest. In both of the Interviews we discussed on the foundation of the initiative, the operation of the system, the products, the marketing activities, personal motivation and many other aspects. I made a survey to the members and the consumers of the communities. I was curious to know that for how long and why are they members and consumers in the given community, what do they think of the products and who are the members of these communities. As a result of my research, I came to a conclusion that these economies will increase in its role in the forthcoming years due to the ever-expanding circle of conscious customers and the support provided by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78772">
    <w:multiLevelType w:val="hybridMultilevel"/>
    <w:lvl w:ilvl="0" w:tplc="78064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78772">
    <w:abstractNumId w:val="38878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213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