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SZILVIA DERECSKEI</w:t>
            </w:r>
          </w:p>
          <w:p w:rsidR="00C275A3" w:rsidRDefault="00A96AEC" w:rsidP="00C275A3">
            <w:pPr>
              <w:pStyle w:val="Hallgatokepzes"/>
            </w:pPr>
            <w:r>
              <w:t>Economic and rural development agrarian engineer</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Edina Lendvai</w:t>
            </w:r>
          </w:p>
          <w:p w:rsidR="00DB4822" w:rsidRDefault="00DB4822" w:rsidP="009763E0">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situation of the herbs-production in Hungary from the regime change to nowadays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would like to scrutinise the situation of the Hungarian herb industry, the reasons for decline and the possibilities of an upheaval from the 1990s up to now. Over the course of my secondary research, I have dealt with a great deal of specialist literature in order to provide answers to the present situation of the industry through examination of past events. In addition, I interviewed three key specialists having insight into the processes of the industry with a view to getting to know their points of view and, enhancing my knowledge, gaining insight into the current situation of herbs and the herbal industry. As a result, I have got the answers to my hypothesis which I intend to demonstrate in this paper.</w:t>
      </w:r>
      <w:r>
        <w:rPr>
          <w:color w:val="000000"/>
          <w:sz w:val="24"/>
          <w:szCs w:val="24"/>
        </w:rPr>
        <w:br/>
        <w:t xml:space="preserve">Summarizing the results of my research, it may be established that the decline in the sector can be seen more paramount in the years following the change of the regime due to structure switches effected in agricultural industries. What followed was not at all facilitated by our accession to the European Union, on the contrary, while our import was gaining momentum, our export decreased gradually. At present, a mild decline is characteristic of the industry although this process is not necessary.</w:t>
      </w:r>
      <w:r>
        <w:rPr>
          <w:color w:val="000000"/>
          <w:sz w:val="24"/>
          <w:szCs w:val="24"/>
        </w:rPr>
        <w:br/>
        <w:t xml:space="preserve">I have deducted the following conclusions from my research. Sole traders dealing with herbs and their cultivation do not receive government subsidies, thus, they found themselves in a much more difficult situation than those working in other agricultural industries. Market is the predominant factor and participants conduct their activities in a similar manner. Besides herbs, sole traders deal with processing other plants or even cultivating them, in other words, they do not only conduct business with specialisation in herbs. In their holdings a relatively small number of workers are employed as their activities are carried out on a family business basis.</w:t>
      </w:r>
      <w:r>
        <w:rPr>
          <w:color w:val="000000"/>
          <w:sz w:val="24"/>
          <w:szCs w:val="24"/>
        </w:rPr>
        <w:br/>
        <w:t xml:space="preserve">In my view, beyond creating an efficient herbal industry strategy, it may be reasonable to establish a Hungarian herbal industry that could gain international acknowledgement and reputation for Hungary through the implementation of the elements of this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17094">
    <w:multiLevelType w:val="hybridMultilevel"/>
    <w:lvl w:ilvl="0" w:tplc="99003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17094">
    <w:abstractNumId w:val="60417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181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