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SINKÓ</w:t>
            </w:r>
          </w:p>
          <w:p w:rsidR="00C275A3" w:rsidRDefault="00A96AEC" w:rsidP="00C275A3">
            <w:pPr>
              <w:pStyle w:val="Hallgatokepzes"/>
            </w:pPr>
            <w:r>
              <w:t>Agricultural Engineering in Agribusiness and Rural Development</w:t>
            </w:r>
            <w:r>
              <w:br/>
            </w:r>
            <w:r w:rsidR="00E77B23">
              <w:t>BSc, 3.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Edina Lendvai</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BALANCING IN THE EUROPEAN UNION’S FREE TRADE PROCESSES, BURDEN-BEARING DIFFERENCES AND HANDLING OPPORTUNITIES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European Union; Hungary; harmonization; natural market mechanism; economic and trade-taxation parallels</w:t>
      </w:r>
      <w:r>
        <w:t xml:space="preserve"/>
      </w:r>
    </w:p>
    <w:p>
      <w:pPr>
        <w:widowControl w:val="on"/>
        <w:pBdr/>
        <w:spacing w:before="240" w:after="240" w:line="240" w:lineRule="auto"/>
        <w:ind w:left="0" w:right="0"/>
        <w:jc w:val="left"/>
      </w:pPr>
      <w:r>
        <w:rPr>
          <w:color w:val="000000"/>
          <w:sz w:val="24"/>
          <w:szCs w:val="24"/>
        </w:rPr>
        <w:t xml:space="preserve">The European Union as one of the world’s priority economic organization is characterized by formation and expansion. In spite of the constant endeavor for harmonization there may arise phenomena which require management to sustain the natural market mechanism. In economic questions it has a great importance to avoid those kinds of indirect competitive advantages that would appear as competitive disadvantages for the same community’s stakeholders. Besides the thorough planning in practice there may show up special factors which point out the necessity of refinement. The objective of the treatise to focus on these type of empiric manifestations and with the major state of affairs, specifying the range of stakeholders, taking into account the triggering factors and with the evaluation of these as well as framing these into the knowledge base to create fine tuning suggestions. The base of the topic selection was Hungary as a European Union member state and in connection with this the context of economic and trade-taxation parallels.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549434">
    <w:multiLevelType w:val="hybridMultilevel"/>
    <w:lvl w:ilvl="0" w:tplc="753735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549434">
    <w:abstractNumId w:val="385494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4180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