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OROSZ</w:t>
            </w:r>
          </w:p>
          <w:p w:rsidR="00C275A3" w:rsidRDefault="00A96AEC" w:rsidP="00C275A3">
            <w:pPr>
              <w:pStyle w:val="Hallgatokepzes"/>
            </w:pPr>
            <w:r>
              <w:t> Ecotoxicology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Csilla Krifaton</w:t>
            </w:r>
          </w:p>
          <w:p w:rsidR="00DB4822" w:rsidRDefault="00DB4822" w:rsidP="009763E0">
            <w:pPr>
              <w:pStyle w:val="Konzulensektitulus"/>
            </w:pPr>
            <w:r w:rsidRPr="00DB4822">
              <w:t>assistant professor, SZIE MKK</w:t>
            </w:r>
          </w:p>
        </w:tc>
      </w:tr>
      <w:tr w:rsidR="00DB4822" w:rsidTr="00DB4822">
        <w:tc>
          <w:tcPr>
            <w:tcW w:w="9854" w:type="dxa"/>
          </w:tcPr>
          <w:p w:rsidR="00DB4822" w:rsidRPr="00DB4822" w:rsidRDefault="00DB4822" w:rsidP="009763E0">
            <w:pPr>
              <w:pStyle w:val="Konzulenseknev"/>
            </w:pPr>
            <w:r w:rsidRPr="00DB4822">
              <w:t>Dr. Mátyás Cserháti</w:t>
            </w:r>
          </w:p>
          <w:p w:rsidR="00DB4822" w:rsidRDefault="00DB4822" w:rsidP="009763E0">
            <w:pPr>
              <w:pStyle w:val="Konzulensektitulus"/>
            </w:pPr>
            <w:r w:rsidRPr="00DB4822">
              <w:t>assistant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CONVENTIONAL WASTEWATER TREATMENT AND LIVING MACHINE BY USE OF A COMBINED TOXICITY-PROFILING METHOD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quality and quantity of the water-soluble organic and inorganic substances has a crucial role in the water-qualification. Examination of the water quality (e.g. COD, BOD, ammonia, nitrite, nitrate, etc.) with chemical analysis is important to explore whether water purification technology follows the water quality standards. However, these data are inefficient to examine the real estate to manage risk posed on the ecosystem. For that reason integrated application of analytical tests and ecotoxicological tests in WWTPs should be applied. In my previous studies effluent wastewater of Gödöllő was already analysed and from an ecotoxicological point of view (e.g. genotoxicity, endocrine disruptive effect, cytotoxicity) critical points were detected. Consequently an overall assessment concerning with WWTPs in Hungary was suggested. Therefore wastewater treatment with activated sludge process in Hatvan and Jászberény were analysed. Moreover, the living machine Organic Food Chain Reactor (FCR) was further analysed.</w:t>
      </w:r>
      <w:r>
        <w:rPr>
          <w:color w:val="000000"/>
          <w:sz w:val="24"/>
          <w:szCs w:val="24"/>
        </w:rPr>
        <w:br/>
        <w:t xml:space="preserve">Pro and eukaryotic test-organisms were used beside the standard physical and chemical indicators of water quality: (1) The Aliivibrio fischeri luminescence inhibition test to determine the toxicity of water samples and (2) Pseudomonas fluorescens growth inhibition test to detect the harmful effects on the soil bacteria. (3) E. coli-based SOS-Chromo test served to detect genotoxicity or (4) the presence of hormonal substances was revealed by the BLYAS/BLYES bio-reporters, which employs the bioluminescent genetically modified strains of Saccharomyces cerevisiae by the help of human estrogen/androgen receptor genes.</w:t>
      </w:r>
      <w:r>
        <w:rPr>
          <w:color w:val="000000"/>
          <w:sz w:val="24"/>
          <w:szCs w:val="24"/>
        </w:rPr>
        <w:br/>
        <w:t xml:space="preserve">Based on my results in 2014 genotoxicity or endocrine disruptive effects are not detected none of the WWTPs. Ecotoxicity was not detected in the effluent wastewater of the Organica FCR. Although the levels of ecotoxicity detected in the conventional WWTPs were found to vary greatly in relation to seasonal changes and technological recovery. This effect was detected not only in the effluent but in the natural water near to the discharge, too. High ecotoxicity was observed typically in the summer months and after the dysfunction of the WWTP.</w:t>
      </w:r>
      <w:r>
        <w:rPr>
          <w:color w:val="000000"/>
          <w:sz w:val="24"/>
          <w:szCs w:val="24"/>
        </w:rPr>
        <w:br/>
        <w:t xml:space="preserve">This project was sponsored by the Research Centre of Excellence 8526-5/2014/TUDPOL. Special thanks for the BLYES/BLYR strains to the researchers of the University of Tennessee (Knoxville, Tennessee).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93527">
    <w:multiLevelType w:val="hybridMultilevel"/>
    <w:lvl w:ilvl="0" w:tplc="51875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93527">
    <w:abstractNumId w:val="62193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475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