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FLENDER</w:t>
            </w:r>
          </w:p>
          <w:p w:rsidR="00C275A3" w:rsidRDefault="00A96AEC" w:rsidP="00C275A3">
            <w:pPr>
              <w:pStyle w:val="Hallgatokepzes"/>
            </w:pPr>
            <w:r>
              <w:t>Physics MSc</w:t>
            </w:r>
            <w:r>
              <w:br/>
            </w:r>
            <w:r w:rsidR="00E77B23">
              <w:t>MSc, 10.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Vass, Ph.D.</w:t>
            </w:r>
          </w:p>
          <w:p w:rsidR="00DB4822" w:rsidRDefault="00DB4822" w:rsidP="00E11062">
            <w:pPr>
              <w:pStyle w:val="Konzulensek"/>
            </w:pPr>
            <w:r w:rsidRPr="00DB4822">
              <w:t>research fellow, SZTE TTIK</w:t>
            </w:r>
          </w:p>
        </w:tc>
      </w:tr>
      <w:tr w:rsidR="00DB4822" w:rsidTr="00DB4822">
        <w:tc>
          <w:tcPr>
            <w:tcW w:w="9854" w:type="dxa"/>
          </w:tcPr>
          <w:p w:rsidR="00DB4822" w:rsidRPr="00DB4822" w:rsidRDefault="00DB4822" w:rsidP="004D7940">
            <w:pPr>
              <w:pStyle w:val="Konzulensek"/>
            </w:pPr>
            <w:r w:rsidRPr="00DB4822">
              <w:t>Bálint Kiss</w:t>
            </w:r>
          </w:p>
          <w:p w:rsidR="00DB4822" w:rsidRDefault="00DB4822" w:rsidP="00E11062">
            <w:pPr>
              <w:pStyle w:val="Konzulensek"/>
            </w:pPr>
            <w:r w:rsidRPr="00DB4822">
              <w:t>Ph.D. candidate,  ELI-ALPS</w:t>
            </w:r>
          </w:p>
        </w:tc>
      </w:tr>
      <w:tr w:rsidR="00DB4822" w:rsidTr="00DB4822">
        <w:tc>
          <w:tcPr>
            <w:tcW w:w="9854" w:type="dxa"/>
          </w:tcPr>
          <w:p w:rsidR="00DB4822" w:rsidRPr="00DB4822" w:rsidRDefault="00DB4822" w:rsidP="004D7940">
            <w:pPr>
              <w:pStyle w:val="Konzulensek"/>
            </w:pPr>
            <w:r w:rsidRPr="00DB4822">
              <w:t>Károly Osvay,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Time-resolved study on grating fabrication in polymers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micropatterning of optically transparent materials by laser based techniques at micro- and submicrometer scale has proved to be a competitive method among the “traditional” surface patterning methods, which have been actively studied in the department.</w:t>
      </w:r>
      <w:r>
        <w:rPr>
          <w:color w:val="000000"/>
          <w:sz w:val="24"/>
          <w:szCs w:val="24"/>
        </w:rPr>
        <w:br/>
        <w:t xml:space="preserve">The aim of my work is to experimentally study the time evolution of the periodic surface relief patterns created into polymers, and to understand the mechanisms of laser material removal (ablation), more precisely in the time domain.</w:t>
      </w:r>
      <w:r>
        <w:rPr>
          <w:color w:val="000000"/>
          <w:sz w:val="24"/>
          <w:szCs w:val="24"/>
        </w:rPr>
        <w:br/>
        <w:t xml:space="preserve">The few micrometer period gratings were ablated into polymethyl methacrylate (PMMA) and polycarbonate (PC) by the interference of the fourth harmonic beams of a pulsed Nd:YAG laser. The ablated area was illuminated by a continuous wave HeNe laser and the diffracted light intensity versus time was recorded by a fast photodiode. This arrangement provides a background-free detection of the arising diffracted beams related to the modification of the surface. The morphology of the processed areas were studied by atomic force microscopy (AFM).</w:t>
      </w:r>
      <w:r>
        <w:rPr>
          <w:color w:val="000000"/>
          <w:sz w:val="24"/>
          <w:szCs w:val="24"/>
        </w:rPr>
        <w:br/>
        <w:t xml:space="preserve">The rise time of the recorded signals are 2-3 us, then followed by a relatively constant part, independently from the laser fluence. Moreover, a relatively small intensity peak was observable 1-2 us after the ablating pulse. The presence of this peak depends on the UV laser fluence and also on the type of the material, and related to melting effects identified on the AFM topographies. I found that the characteristic time of the material removal is in the few s scale, and also found that photothermal effects play important role during the ablation.</w:t>
      </w:r>
      <w:r>
        <w:rPr>
          <w:color w:val="000000"/>
          <w:sz w:val="24"/>
          <w:szCs w:val="24"/>
        </w:rPr>
        <w:br/>
        <w:t xml:space="preserve">On the basis of my experiments the time resolved monitoring of the diffracted signals in the cases of polycarbonate could be a good method to determine the quality of the ablated gratings, without time consuming ex-situ surface characterization.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47157">
    <w:multiLevelType w:val="hybridMultilevel"/>
    <w:lvl w:ilvl="0" w:tplc="636856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47157">
    <w:abstractNumId w:val="36147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5167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