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TAKÁCS BOGLÁRKA</w:t>
            </w:r>
          </w:p>
          <w:p w:rsidR="00C275A3" w:rsidRDefault="00A96AEC" w:rsidP="00C275A3">
            <w:pPr>
              <w:pStyle w:val="Hallgatokepzes"/>
            </w:pPr>
            <w:r>
              <w:t>Szlavisztika (orosz)</w:t>
            </w:r>
            <w:r>
              <w:br/>
            </w:r>
            <w:r w:rsidR="00E77B23">
              <w:t>BA, 5. félév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Nyugat-magyarországi Egyetem</w:t>
            </w:r>
            <w:r w:rsidR="00C275A3">
              <w:br/>
            </w:r>
            <w:r w:rsidR="00DB4822">
              <w:t>Berzsenyi Dániel Pedagógusképző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Dr. Szabó Tünde</w:t>
            </w:r>
          </w:p>
          <w:p w:rsidR="00DB4822" w:rsidRDefault="00DB4822" w:rsidP="009763E0">
            <w:pPr>
              <w:pStyle w:val="Konzulensektitulus"/>
            </w:pPr>
            <w:r w:rsidRPr="00DB4822">
              <w:t>egyetemi docens, NYME BDPK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Társadalmi és irodalmi klisék L. Tolsztoj Családi boldogság című kisregényében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Lev Tolsztoj Családi boldogság című kisregényében három problémakört vizsgálok, amelyeket a „klisé” fogalma, illetve a hozzá való viszony kapcsol össze. A klisé a társadalmi normák által meghatározott, az egyéni reflexiót nélkülöző, automatikusan ismétlődő gondolkodási és viselkedésmódokra vonatkozik.</w:t>
      </w:r>
      <w:r>
        <w:rPr>
          <w:color w:val="000000"/>
          <w:sz w:val="24"/>
          <w:szCs w:val="24"/>
        </w:rPr>
        <w:br/>
        <w:t xml:space="preserve">Egyrészt azt vizsgálom, hogy a szereplők viselkedése miképpen szerveződik a társadalmi normák által diktált nemi szerepek alapján, illetve hogyan ütközik ezekkel. A kisregény az elbeszélő hősnő szerelmének és házasságának története, a férfi hőshöz való viszonya pedig társadalmi sztereotípiák, azaz viselkedés-klisék mentén bontakozik ki. Ez a folyamat három fázisra osztható, a házasságkötés előtti, a házasságkötés és a házasság időszakára, melyek mindegyikében más és más a nő attitűdje mind az adott fázishoz tartozó viselkedés-klisék, mind a férfi hős tekintetében.</w:t>
      </w:r>
      <w:r>
        <w:rPr>
          <w:color w:val="000000"/>
          <w:sz w:val="24"/>
          <w:szCs w:val="24"/>
        </w:rPr>
        <w:br/>
        <w:t xml:space="preserve">A dolgozat második része a műben fellelhető irodalmi toposzok köré szerveződik. Az irodalmi toposzok az irodalmi művekben többnyire változatlan formában visszatérő, hasonló jelentésű elemek, amelyek ezért részben klisékként is értelmezhetők. Tolsztoj kisregényében ezek közül a legfontosabb a zene és a természetábrázolás, azon belül is a kert toposza. A zene és a természet megjelenítése a kisregényben az irodalmi hagyománynak megfelelően történik, azaz mindkettő befolyásolja a hősök belső lelki folyamatait, illetve leképezi azokat. Ezért összességében a zene és a természetábrázolás is irodalmi kliséként működik, ami alól kivételt csak a kihallgatás-epizód jelent.</w:t>
      </w:r>
      <w:r>
        <w:rPr>
          <w:color w:val="000000"/>
          <w:sz w:val="24"/>
          <w:szCs w:val="24"/>
        </w:rPr>
        <w:br/>
        <w:t xml:space="preserve">Dolgozatom harmadik részében a kisregény narratív síkjának dialogizáltságát próbálom feltárni. A kiindulási pontom az a Mihail Bahtyinhoz köthető, általánosan elfogadott nézet, hogy Tolsztoj regényeinek narrációja monologikus. Ezt a nézetet azonban a Családi boldogság narratív síkjának elemzése jelentős mértékben árnyalja, mivel az elbeszélő hősnő első személyű szólamában döntően a dialogizáltság dominál. A társadalmi sztereotípiákhoz való polemikus viszony, illetve a férfi hős álláspontjával való ütközés, közeledés, majd újbóli eltávolodás belső dialogizáltságot eredményez.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5B724A" w:rsidRDefault="005B724A">
      <w:r>
        <w:separator/>
      </w:r>
    </w:p>
  </w:endnote>
  <w:endnote w:type="continuationSeparator" w:id="1">
    <w:p w:rsidR="005B724A" w:rsidRDefault="005B724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Arial">
    <w:panose1 w:val="020B0606020202030204"/>
    <w:charset w:val="EE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5B724A" w:rsidRDefault="005B724A">
      <w:r>
        <w:separator/>
      </w:r>
    </w:p>
  </w:footnote>
  <w:footnote w:type="continuationSeparator" w:id="1">
    <w:p w:rsidR="005B724A" w:rsidRDefault="005B724A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46377521">
    <w:multiLevelType w:val="hybridMultilevel"/>
    <w:lvl w:ilvl="0" w:tplc="19035747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46377521">
    <w:abstractNumId w:val="4637752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3314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584086807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87</TotalTime>
  <Pages>1</Pages>
  <Words>35</Words>
  <Characters>246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rudanj</cp:lastModifiedBy>
  <cp:revision>16</cp:revision>
  <cp:lastPrinted>1601-01-01T00:00:00Z</cp:lastPrinted>
  <dcterms:created xsi:type="dcterms:W3CDTF">2012-11-05T21:53:00Z</dcterms:created>
  <dcterms:modified xsi:type="dcterms:W3CDTF">2015-02-04T15:05:00Z</dcterms:modified>
</cp:coreProperties>
</file>