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ZSOLT SZMESKÓ</w:t>
            </w:r>
          </w:p>
          <w:p w:rsidR="00C275A3" w:rsidRDefault="00A96AEC" w:rsidP="00C275A3">
            <w:pPr>
              <w:pStyle w:val="Hallgatokepzes"/>
            </w:pPr>
            <w:r>
              <w:t>Hungarian Language and Litreratura</w:t>
            </w:r>
            <w:r>
              <w:br/>
            </w:r>
            <w:r w:rsidR="00E77B23">
              <w:t>BA, 7.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Alinka Ajkay</w:t>
            </w:r>
          </w:p>
          <w:p w:rsidR="00DB4822" w:rsidRDefault="00DB4822" w:rsidP="00E11062">
            <w:pPr>
              <w:pStyle w:val="Konzulensek"/>
            </w:pPr>
            <w:r w:rsidRPr="00DB4822">
              <w:t>university reader,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publishing and early reception of Őszikék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intend to bring forward the editions of Őszikék preceding the death of János Arany, the reactions of the contemporaries (1877–1882), together with the difficulties of publication. I review the vociferous reception of the fifteen Őszikék poems that were published in this time interval, based on the contemporary magazines like the Budapesti Szemle, the Vasárnapi Újság, the Figyelő, the Fővárosi Lapok or the Koszorú and so on. The history of publishing these fifteen poems are further tinted by reviewing yet unedited and unpublished letter correspondances.</w:t>
      </w:r>
      <w:r>
        <w:rPr>
          <w:color w:val="000000"/>
          <w:sz w:val="24"/>
          <w:szCs w:val="24"/>
        </w:rPr>
        <w:br/>
        <w:t xml:space="preserve">The arch of the contemporary reception can easily be drawn through those narrow two years (1878–1880) when these poems – such as A tölgyek alatt, Tengeri hántás, Kozmopolita költészet, Tetemre hívás and others were published. The Kisfaludi Association played a major role in the warm reception of these poems, on whose conventions several works of this great poet were presented. Furthermore, the agency of Pál Gyulai must be noted, whose influence and impact is almost inseparable from the later years of Arany’s career.</w:t>
      </w:r>
      <w:r>
        <w:rPr>
          <w:color w:val="000000"/>
          <w:sz w:val="24"/>
          <w:szCs w:val="24"/>
        </w:rPr>
        <w:br/>
        <w:t xml:space="preserve">Finally, the posthumous editions are enumerated, discussing the reception they recieved and the consequences of the contemporary critique.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766259">
    <w:multiLevelType w:val="hybridMultilevel"/>
    <w:lvl w:ilvl="0" w:tplc="868601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766259">
    <w:abstractNumId w:val="987662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95236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