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ERZSEBET SPARKS</w:t>
            </w:r>
          </w:p>
          <w:p w:rsidR="00C275A3" w:rsidRDefault="00A96AEC" w:rsidP="00C275A3">
            <w:pPr>
              <w:pStyle w:val="Hallgatokepzes"/>
            </w:pPr>
            <w:r>
              <w:t>MA Program. British Literature and Culture</w:t>
            </w:r>
            <w:r>
              <w:br/>
            </w:r>
            <w:r w:rsidR="00E77B23">
              <w:t>MA, 9.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Tóthné dr. Espák Gabriella</w:t>
            </w:r>
          </w:p>
          <w:p w:rsidR="00DB4822" w:rsidRDefault="00DB4822" w:rsidP="009763E0">
            <w:pPr>
              <w:pStyle w:val="Konzulensektitulus"/>
            </w:pPr>
            <w:r w:rsidRPr="00DB4822">
              <w:t>Assistant Professor, Deputy Chair,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 and Institutional Motivations in Three Stolen Generations Narratives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most important topics are deep trauma and three narratives from Australia’s Stolen Generations</w:t>
      </w:r>
      <w:r>
        <w:rPr>
          <w:color w:val="000000"/>
          <w:sz w:val="24"/>
          <w:szCs w:val="24"/>
        </w:rPr>
        <w:br/>
        <w:t xml:space="preserve">First I give a short explanation of this historical concept ( also called Australia’s shameful past.). The Stolen Generations (also known as Stolen children) were the children of Australian Aboriginal and Torres Strait Islander descent who were removed from their families by the Australian Federal and State government agencies and church missions, under the acts of their respective parliament. The removals occurred in the period between approximately 1909 and 1969, although in some places children were still being taken until the 1970s.</w:t>
      </w:r>
      <w:r>
        <w:rPr>
          <w:color w:val="000000"/>
          <w:sz w:val="24"/>
          <w:szCs w:val="24"/>
        </w:rPr>
        <w:br/>
        <w:t xml:space="preserve">Next I have researched two books. The first one was Doris Pilkington Garimara’s : Follow the Rabbit-Proof Fence, and the second one Home to Mother, the junior version written by the same author. Then the third narrative was the book’s adaptation, titled Rabbit-Proof Fence and directed by Phillip Noyce.</w:t>
      </w:r>
      <w:r>
        <w:rPr>
          <w:color w:val="000000"/>
          <w:sz w:val="24"/>
          <w:szCs w:val="24"/>
        </w:rPr>
        <w:br/>
        <w:t xml:space="preserve">These stories are very unique because the plot is basically almost the same. But the methods and motivations are very different. The protagonists went through many sufferings. We all could feel deep empathy for these young children. Actually the story is very simple. Three Aboriginal girls were taken forcibly from their homes.</w:t>
      </w:r>
      <w:r>
        <w:rPr>
          <w:color w:val="000000"/>
          <w:sz w:val="24"/>
          <w:szCs w:val="24"/>
        </w:rPr>
        <w:br/>
        <w:t xml:space="preserve">However, they bravely escape the prison-like settlement and return home. They walk 9 weeks along 1500 miles of the Australian rabbit-proof fence. Black trackers and policemen pursue the children. Except one girl, they return home. All readers agree that it is a powerful story of hope and survival!</w:t>
      </w:r>
      <w:r>
        <w:rPr>
          <w:color w:val="000000"/>
          <w:sz w:val="24"/>
          <w:szCs w:val="24"/>
        </w:rPr>
        <w:br/>
        <w:t xml:space="preserve">I compare the three narratives in details. I want to show how these narratives derive from the “Lost Child” image. Then I decode the 1990s Reconciliation Period. At the end I want to point at how these narratives got contextualized in this time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91983">
    <w:multiLevelType w:val="hybridMultilevel"/>
    <w:lvl w:ilvl="0" w:tplc="53187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91983">
    <w:abstractNumId w:val="4789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405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