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TERÉZIA KRUPPA</w:t>
            </w:r>
          </w:p>
          <w:p w:rsidR="00C275A3" w:rsidRDefault="00A96AEC" w:rsidP="00C275A3">
            <w:pPr>
              <w:pStyle w:val="Hallgatokepzes"/>
            </w:pPr>
            <w:r>
              <w:t>English and American Studies</w:t>
            </w:r>
            <w:r>
              <w:br/>
            </w:r>
            <w:r w:rsidR="00E77B23">
              <w:t>BA, 5.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Eszter Ureczky</w:t>
            </w:r>
          </w:p>
          <w:p w:rsidR="00DB4822" w:rsidRDefault="00DB4822" w:rsidP="009763E0">
            <w:pPr>
              <w:pStyle w:val="Konzulensektitulus"/>
            </w:pPr>
            <w:r w:rsidRPr="00DB4822">
              <w:t>professor's assistant,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(Post)colonial Encounters: Power Relations in Joseph Conrad's Heart of Darkness and Lloyd Jones' Mister Pip</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The aim of my paper is to examine human interactions between whites and blacks, men and women, adults and children in Joseph Conrad’s Heart of Darkness and Lloyd Jones’ Mister Pip. My approach hypothesizes that in any human interaction both of the participants – the colonizer and the colonized – are influenced by the Other and both of them need to experience a kind of identity crisis when encountering radical Otherness.</w:t>
      </w:r>
      <w:r>
        <w:rPr>
          <w:color w:val="000000"/>
          <w:sz w:val="24"/>
          <w:szCs w:val="24"/>
        </w:rPr>
        <w:br/>
        <w:t xml:space="preserve">          Although Conrad’s modernist classic and Jones’ contemporary novel, which can be considered from several aspects as postmodern, are seemingly rooted in two very different literary traditions, my intention is to build on the common discursive basis of these two texts; the questioning of general truths and stereotypes and enabling the formerly strictly separated parts to blend. As the basis of my argument I used among others Homi Bhabha’s notion of the Other, Bényei Tamás’ collection of postcolonial reading of novels, Traumatikus találkozások and Rita Felski’s essay entitled “Modernity and Feminism”.</w:t>
      </w:r>
      <w:r>
        <w:rPr>
          <w:color w:val="000000"/>
          <w:sz w:val="24"/>
          <w:szCs w:val="24"/>
        </w:rPr>
        <w:br/>
        <w:t xml:space="preserve">          The conclusion of my analysis is the realisation that the experience of (post)colonial encounters with the Other generates very similar reactions in the characters – regardless of their age, skin colour and gender.</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4550749">
    <w:multiLevelType w:val="hybridMultilevel"/>
    <w:lvl w:ilvl="0" w:tplc="23158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4550749">
    <w:abstractNumId w:val="9455074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03074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