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BANK</w:t>
            </w:r>
          </w:p>
          <w:p w:rsidR="00C275A3" w:rsidRDefault="00A96AEC" w:rsidP="00C275A3">
            <w:pPr>
              <w:pStyle w:val="Hallgatokepzes"/>
            </w:pPr>
            <w:r>
              <w:t>Educational Sciences </w:t>
            </w:r>
            <w:r>
              <w:br/>
            </w:r>
            <w:r w:rsidR="00E77B23">
              <w:t>MA, 12.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Józsa dr. habil.</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Using the Strengths and Difficulties Questionnaire in a sample of children with mild intellectual disability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rate of emotional and behavioral disorders is high in children and adolescents, especially in intellectual disability (Myrbakk and Tetzchner, 2008; Rzepecka, McKenzie, McClure and Murphy, 2011). Studies about the relationship of mental disorders and intellectual disability have begun internationally, but this tendency is less noticeable in Hungary. The Strengths and Difficulties Questionnaire is a wildly used screening measure for behavioral and mental disorders. All types of this questionnaire (self-report, parent and teacher report version) were only used in population with normal intellect in Hungary (e.g. Birkás, Lakatos, Tóth and Gervai, 2008; Turi, Gervai, Áspán, Halász, Nagy and Gádoros, 2013; Turi, Tóth and Gervai, 2011).</w:t>
      </w:r>
      <w:r>
        <w:rPr>
          <w:color w:val="000000"/>
          <w:sz w:val="24"/>
          <w:szCs w:val="24"/>
        </w:rPr>
        <w:br/>
        <w:t xml:space="preserve">The main goal of my study was to measure the emotional and behavioral problems of children with mild intellectual disability (N=86) with using the Strengths and Difficulties Questionnaire (self-report and teacher report version) and also to compare the results with typically developing children (N=91). I adapted and used the modified version of the self-report questionnaire by Haynes, Gilmore, Shochet, Campbell and Roberts (2013), who simplified some items because of the cognitive difficulties in children with mild intellectual disability.</w:t>
      </w:r>
      <w:r>
        <w:rPr>
          <w:color w:val="000000"/>
          <w:sz w:val="24"/>
          <w:szCs w:val="24"/>
        </w:rPr>
        <w:br/>
        <w:t xml:space="preserve">In my results the level of internal consistency score of the self-report version was acceptable in the sample of children with mild intellectual disability (Cronbach-α=0,60) and in typically developing children too (Cronbach-α=0,71). Results from factor analysis revealed that reliability of the subscales is the most satisfactory with three-factor structure.Comparing the groups with and without mild intellectual disability, there were significantly more emotional and behavioral problems in the group with mild intellectual disability. There was no significant difference by gender in the sample of children with mild intellectual disability. Of the background variables the child neglect, disadvantage and growing up without biological parents correlated mostly with children’s emotional and behavioral symptoms. According to the results children with mild intellectual disability are more likely to have emotional and behavioral problems. Strengths and Difficulties Questionnaire can be a screening tool for identifying these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99632">
    <w:multiLevelType w:val="hybridMultilevel"/>
    <w:lvl w:ilvl="0" w:tplc="21368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99632">
    <w:abstractNumId w:val="682996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38575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