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KASSAI</w:t>
            </w:r>
          </w:p>
          <w:p w:rsidR="00C275A3" w:rsidRDefault="00A96AEC" w:rsidP="00C275A3">
            <w:pPr>
              <w:pStyle w:val="Hallgatokepzes"/>
            </w:pPr>
            <w:r>
              <w:t>Intercultural psychology and pedagogy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Rácz Ph.D</w:t>
            </w:r>
          </w:p>
          <w:p w:rsidR="00DB4822" w:rsidRDefault="00DB4822" w:rsidP="00E11062">
            <w:pPr>
              <w:pStyle w:val="Konzulensek"/>
            </w:pPr>
            <w:r w:rsidRPr="00DB4822">
              <w:t>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Recovered counsellors, as peer helpers dealing with addiction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Peer counselling appears in two larger contexts, based on the similarity of age or way of life. My study addresses the examination of recovered counsellors (help model, based on the similarity of way of life) wich appears among several rehabilitation communities and resocialization institutions dealing with addictions. My study aims to examine the process of becoming a helper, whether does it separate from the process of recovering. For this, a method focusing on processes inside the person is necessary. To examine processes such as, becoming a helper – and it’s starting point - substance abuse, and recovery the method of Interpretative Phenomenological Analysis (IPA) is feasible, because it’s contribution to examining experiences essential for participants. Thus my study furthermore aims to try-out IPA’s method, for first inland application: whether it is appropriate to experiences of susbstance abuse, recovery and counselling interpretation.</w:t>
      </w:r>
      <w:r>
        <w:rPr>
          <w:color w:val="000000"/>
          <w:sz w:val="24"/>
          <w:szCs w:val="24"/>
        </w:rPr>
        <w:br/>
        <w:t xml:space="preserve">As the results of the study show, - including six recovered counsellors’ interview – to becoming hepler means a continuous process, based on ’non-addict’ special identity intertwined with helper identity. Understaning these personality contents needs an idiographic interpretation insisting on hermeneutic approach, involving two-stage interpretation, „double hermeneutic” process. This deliberately and systematically interpretation of paricipants’ pre-reflective accounts considered as the reflective phenomenological attitude of IPA.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44537">
    <w:multiLevelType w:val="hybridMultilevel"/>
    <w:lvl w:ilvl="0" w:tplc="42070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44537">
    <w:abstractNumId w:val="88144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507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