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GYURKOVICS</w:t>
            </w:r>
          </w:p>
          <w:p w:rsidR="00C275A3" w:rsidRDefault="00A96AEC" w:rsidP="00C275A3">
            <w:pPr>
              <w:pStyle w:val="Hallgatokepzes"/>
            </w:pPr>
            <w:r>
              <w:t>Psychology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 Veres-Szekely</w:t>
            </w:r>
          </w:p>
          <w:p w:rsidR="00DB4822" w:rsidRDefault="00DB4822" w:rsidP="00E11062">
            <w:pPr>
              <w:pStyle w:val="Konzulensek"/>
            </w:pPr>
            <w:r w:rsidRPr="00DB4822">
              <w:t>assistant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Genetic and personality correlates of flow proneness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Proneness to experience flow state is a moderately heritable trait. This study investigated the associations between two dopamine receptor genes (a DRD2 SNP and a DRD4 VNTR) and flow proneness. These dopaminergic gene variants were expected to be related to the proneness to experience the highly rewarding flow state because dopamine is involved in the reward circuitry of the brain. Furthermore, these particular candidate genes were selected because they are linked to neurobiological and personality characteristics that are connected to flow proneness.</w:t>
      </w:r>
    </w:p>
    <w:p>
      <w:pPr>
        <w:widowControl w:val="on"/>
        <w:pBdr/>
        <w:spacing w:before="240" w:after="240" w:line="240" w:lineRule="auto"/>
        <w:ind w:left="0" w:right="0"/>
        <w:jc w:val="left"/>
      </w:pPr>
      <w:r>
        <w:rPr>
          <w:color w:val="000000"/>
          <w:sz w:val="24"/>
          <w:szCs w:val="24"/>
        </w:rPr>
        <w:t xml:space="preserve">Method: 326 participants (mean age: 21,4 ± 3,7) filled out the Hungarian version of the Swedish Flow Proneness Questionnaire. This measure assesses frequency of flow in three domains of life (leisure, work/studies, maintenance). The genotype of subjects was determined by a collaborating molecular biological laboratory.</w:t>
      </w:r>
    </w:p>
    <w:p>
      <w:pPr>
        <w:widowControl w:val="on"/>
        <w:pBdr/>
        <w:spacing w:before="240" w:after="240" w:line="240" w:lineRule="auto"/>
        <w:ind w:left="0" w:right="0"/>
        <w:jc w:val="left"/>
      </w:pPr>
      <w:r>
        <w:rPr>
          <w:color w:val="000000"/>
          <w:sz w:val="24"/>
          <w:szCs w:val="24"/>
        </w:rPr>
        <w:t xml:space="preserve">Results: In the case of DRD2 C957T SNP (n = 237), T-allele carriers (TT homozygotes or CT heterozygotes) reported significantly lower levels of flow proneness in the life domain of mandatory activities than did CC homozygotes (β = -0,19; t = -3,04; p &lt; 0,005). No significant relationship was found between flow proneness and the DRD4 VNTR. The pattern of the results suggested that there might be a negative correlation between impulsivity and flow proneness. I investigated such a relationship in a sample of 123: the Attentional impulsivity and the Non-Planning subscales of the Barratt Impulsiveness Scale were negatively related to flow proneness scores in the domains of leisure and mandatory activities. An exploratory analysis of the relationships between Cloninger’s psychobiological model of personality and flow proneness revealed that the temperament dimension of Persistence and the character dimension of Self-Directedness are both positively related to flow proneness, even after Bonferroni correction.</w:t>
      </w:r>
    </w:p>
    <w:p>
      <w:pPr>
        <w:widowControl w:val="on"/>
        <w:pBdr/>
        <w:spacing w:before="240" w:after="240" w:line="240" w:lineRule="auto"/>
        <w:ind w:left="0" w:right="0"/>
        <w:jc w:val="left"/>
      </w:pPr>
      <w:r>
        <w:rPr>
          <w:color w:val="000000"/>
          <w:sz w:val="24"/>
          <w:szCs w:val="24"/>
        </w:rPr>
        <w:t xml:space="preserve">Discussion: The CC genotype of the DRD2 C957T polymorphism has already been linked to lower levels of impulsivity and in this study, it was now found to be linked to higher flow proneness. A negative correlation was detectable between these two traits, probably due to the effect of impulsivity on the downregulation of task irrelevant processes. This suggests a model in which DRD2 genotype effects flow proneness via impulsivity.</w:t>
      </w:r>
    </w:p>
    <w:p>
      <w:pPr>
        <w:widowControl w:val="on"/>
        <w:pBdr/>
        <w:spacing w:before="240" w:after="240" w:line="240" w:lineRule="auto"/>
        <w:ind w:left="0" w:right="0"/>
        <w:jc w:val="left"/>
      </w:pPr>
      <w:r>
        <w:rPr>
          <w:color w:val="000000"/>
          <w:sz w:val="24"/>
          <w:szCs w:val="24"/>
        </w:rPr>
        <w:t xml:space="preserve">The relationships between personality dimensions and flow proneness are in accordance with previous findings in the literature.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53274">
    <w:multiLevelType w:val="hybridMultilevel"/>
    <w:lvl w:ilvl="0" w:tplc="68994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53274">
    <w:abstractNumId w:val="420532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19364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