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TELEKI ANNA</w:t>
            </w:r>
          </w:p>
          <w:p w:rsidR="00C275A3" w:rsidRDefault="00A96AEC" w:rsidP="00C275A3">
            <w:pPr>
              <w:pStyle w:val="Hallgatokepzes"/>
            </w:pPr>
            <w:r>
              <w:t>Szlavisztika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Goretity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intézetigazgató,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örök női princípium ambivalenciája és mitológiai jelentésköre Turgenyev Aszja című novellájában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Aszja című novella elemzésének központi témájává válik a mítosz- és motívumvilág, mely széles jelentéskörével átszövi a mű felszín alatti mély mondanivalóját.</w:t>
      </w:r>
      <w:r>
        <w:rPr>
          <w:color w:val="000000"/>
          <w:sz w:val="24"/>
          <w:szCs w:val="24"/>
        </w:rPr>
        <w:br/>
        <w:t xml:space="preserve">A novella motívumvilágát Turgenyev - a számos művében szereplő - víz mint életár archetípus köré építi. A folyó, melyen egy csónakban az önmagában merengő hős sodródik, a cselekmény és a fejlődésbeli szakaszok szempontjából fontos epizódokban jelenik meg.</w:t>
      </w:r>
      <w:r>
        <w:rPr>
          <w:color w:val="000000"/>
          <w:sz w:val="24"/>
          <w:szCs w:val="24"/>
        </w:rPr>
        <w:br/>
        <w:t xml:space="preserve">A motívumrendszer szemantikailag és topográfiai szinten is a víz, az életár köré épül. Közvetlenül megjelenik az orosz folklórhagyomány kiemelkedő alakja, a „ruszálka”. A népi hiedelem nimfaszerű alakját Turgenyev párhuzamba vonja a germán mondavilág ismert elemével, a Loreley mesével. Aszja alakja, összetett és fokozatosan fejlődő karaktere a mű középpontjába kerül. Viselkedése és N. úr életében betöltött szerepe magában hordozza a ruszálkák démonikus alakját. Aszja magában hordozza az örök nőiséget, mely a később megjelenő szolovjovi Sophia-tanból értelmezhető. Aszja megjelenésével és cselekedeteivel közvetlenül, felsőbbrendű misztikus lényével közvetve befolyásolja a férfi sorsát. A szerelem metaforájaként megjelenik a madár és a virág motívuma, mely az előre- és visszautalásokban betöltött szerepével keretet ad az elbeszélésnek.</w:t>
      </w:r>
      <w:r>
        <w:rPr>
          <w:color w:val="000000"/>
          <w:sz w:val="24"/>
          <w:szCs w:val="24"/>
        </w:rPr>
        <w:br/>
        <w:t xml:space="preserve">Turgenyev Aszja című novellájának elemzésekor fontos túljutni a kortárs társadalomkritikai olvasaton. A felesleges ember mint irodalmi hagyomány dominánsan jelen van, de mégsem ez adja az elbeszélés értelmezésének fő vonulatát. Turgenyev gazdag képi világgal, a természet állandóan reflektáló jelenlétével fejezi ki olvasói számára az életről és világról vallott filozófiáját.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95343">
    <w:multiLevelType w:val="hybridMultilevel"/>
    <w:lvl w:ilvl="0" w:tplc="43477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95343">
    <w:abstractNumId w:val="80495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491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