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TELEKI</w:t>
            </w:r>
          </w:p>
          <w:p w:rsidR="00C275A3" w:rsidRDefault="00A96AEC" w:rsidP="00C275A3">
            <w:pPr>
              <w:pStyle w:val="Hallgatokepzes"/>
            </w:pPr>
            <w:r>
              <w:t>Slavic Studies</w:t>
            </w:r>
            <w:r>
              <w:br/>
            </w:r>
            <w:r w:rsidR="00E77B23">
              <w:t>MA, 7.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Goretity</w:t>
            </w:r>
          </w:p>
          <w:p w:rsidR="00DB4822" w:rsidRDefault="00DB4822" w:rsidP="009763E0">
            <w:pPr>
              <w:pStyle w:val="Konzulensektitulus"/>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dateless women's ambivalence and mythological signification in short story "Asja" by Turgenev</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analysis of Turgenev's short story, Asja focuses on the system of recurring themes and patterns which interlace the story's underlying message.</w:t>
      </w:r>
      <w:r>
        <w:rPr>
          <w:color w:val="000000"/>
          <w:sz w:val="24"/>
          <w:szCs w:val="24"/>
        </w:rPr>
        <w:br/>
        <w:t xml:space="preserve">Turgenev builds his short story around a frequently occuring pattern in his works, the pattern of water as the archetype of the flow of life. The river on which the comtemplative hero is floating appears at those parts of the story which play a crucial role in the plot and in his evolution.</w:t>
      </w:r>
      <w:r>
        <w:rPr>
          <w:color w:val="000000"/>
          <w:sz w:val="24"/>
          <w:szCs w:val="24"/>
        </w:rPr>
        <w:br/>
        <w:t xml:space="preserve">The pattern of water forms the semantic and geographical center of Asja. In connection with this appears the emblematic image of the Russian folk tradition, the rusalka. Turgenev draws a parallel between this nimpha-like figure of the Russian folk belief and the Lorelei tale of German mythology. Asja's complex and gradually evolving character is brought into focus. Her behavior and the role she plays in the life of Mr. N. can be associated with the demonic features of the rusalka. Asja's character also bears in itself the feminity which can be interpreted by Solovyov's doctrine of Sofia. Asja affects the man's fate directly by her appearance and acts and indirectly by her superior and mystic personality. The patterns of a bird and a flower appear as the symbols of love which give a frame to the short story.</w:t>
      </w:r>
      <w:r>
        <w:rPr>
          <w:color w:val="000000"/>
          <w:sz w:val="24"/>
          <w:szCs w:val="24"/>
        </w:rPr>
        <w:br/>
        <w:t xml:space="preserve">Through the analysis of Turgenev's Asja we need to go beyond the contemporary sociocritical reading. Although the figure of the useless man as part of the literary tradition is dominantly present, it does not compose the main line in the interpretation of the story. Turgenev expresses his views on life and the world though his rich visual imagery and the constantly responsive presence of 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58828">
    <w:multiLevelType w:val="hybridMultilevel"/>
    <w:lvl w:ilvl="0" w:tplc="65958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58828">
    <w:abstractNumId w:val="90158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654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