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SZEKELY</w:t>
            </w:r>
          </w:p>
          <w:p w:rsidR="00C275A3" w:rsidRDefault="00A96AEC" w:rsidP="00C275A3">
            <w:pPr>
              <w:pStyle w:val="Hallgatokepzes"/>
            </w:pPr>
            <w:r>
              <w:t>Theologian - Minister of Religion</w:t>
            </w:r>
            <w:r>
              <w:br/>
            </w:r>
            <w:r w:rsidR="00E77B23">
              <w:t>Unified, 7.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Sandor Bekesi Phd.</w:t>
            </w:r>
          </w:p>
          <w:p w:rsidR="00DB4822" w:rsidRDefault="00DB4822" w:rsidP="009763E0">
            <w:pPr>
              <w:pStyle w:val="Konzulensektitulus"/>
            </w:pPr>
            <w:r w:rsidRPr="00DB4822">
              <w:t>associate professor and head of department,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GodMan-concept of Anselm of Canterbury - It's Interpretation in the History of Theology and in Metaphysics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Many disputation formulated theologians the Calcedonian Creed in 451 A.D. Their purpose were to solve the problem of the pradoxical GodMan Christ doctrine – two natures in one person. It determines fundamentally the teological literature on Christ in our days too. Itt would be hard to state that the Calcedonian Creed also made accordance, although originally when it was adopted the unity of the eastern ortodox and the catholic christianity came true. Anselm of Canterbury wrote a detailed treatise in this theological theme, in a very hard period (after 1054), obviously not without antecedents and effect (Anselm’s theological ideas was repeated in subsequent theologians works, in the background of this experience may be hypothesized the similarity of the method, the cogitation, or the common source-string may be). However if we try to read the Systematic Theology of Paul Tillich in this theme we can recognize the shadow of our period. Endre Ady the poet writes well: „Every whole is broken now”. We have to ask the question: what is the origin of this? What is the reason of this discontinuity? What inhibit us to make an organic connection with them again? The method of my research is, to study the works of the teheologians, as modells, using the posibilities of the history of theology and metaphisics, to find answers for this questions. In this work became very important the GodMan conception of Anselm of Canterbury, and the recognition of Paul Tillich’s Christology.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15004">
    <w:multiLevelType w:val="hybridMultilevel"/>
    <w:lvl w:ilvl="0" w:tplc="78995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15004">
    <w:abstractNumId w:val="83715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154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