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MARKÓJA</w:t>
            </w:r>
          </w:p>
          <w:p w:rsidR="00C275A3" w:rsidRDefault="00A96AEC" w:rsidP="00C275A3">
            <w:pPr>
              <w:pStyle w:val="Hallgatokepzes"/>
            </w:pPr>
            <w:r>
              <w:t>Psychology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Gerda Margit Szalai</w:t>
            </w:r>
          </w:p>
          <w:p w:rsidR="00DB4822" w:rsidRDefault="00DB4822" w:rsidP="009763E0">
            <w:pPr>
              <w:pStyle w:val="Konzulensektitulus"/>
            </w:pPr>
            <w:r w:rsidRPr="00DB4822">
              <w:t>professor’s assistant, ELTE PPK</w:t>
            </w:r>
          </w:p>
        </w:tc>
      </w:tr>
      <w:tr w:rsidR="00DB4822" w:rsidTr="00DB4822">
        <w:tc>
          <w:tcPr>
            <w:tcW w:w="9854" w:type="dxa"/>
          </w:tcPr>
          <w:p w:rsidR="00DB4822" w:rsidRPr="00DB4822" w:rsidRDefault="00DB4822" w:rsidP="009763E0">
            <w:pPr>
              <w:pStyle w:val="Konzulenseknev"/>
            </w:pPr>
            <w:r w:rsidRPr="00DB4822">
              <w:t>Nándor Donauer, PhD</w:t>
            </w:r>
          </w:p>
          <w:p w:rsidR="00DB4822" w:rsidRDefault="00DB4822" w:rsidP="009763E0">
            <w:pPr>
              <w:pStyle w:val="Konzulensektitulus"/>
            </w:pPr>
            <w:r w:rsidRPr="00DB4822">
              <w:t>neuropsychologist,  Children's Hospital in Buda
H-1023 Budapest, Bolyai u. 5-9.</w:t>
            </w:r>
          </w:p>
        </w:tc>
      </w:tr>
      <w:tr w:rsidR="00DB4822" w:rsidTr="00DB4822">
        <w:tc>
          <w:tcPr>
            <w:tcW w:w="9854" w:type="dxa"/>
          </w:tcPr>
          <w:p w:rsidR="00DB4822" w:rsidRPr="00DB4822" w:rsidRDefault="00DB4822" w:rsidP="009763E0">
            <w:pPr>
              <w:pStyle w:val="Konzulenseknev"/>
            </w:pPr>
            <w:r w:rsidRPr="00DB4822">
              <w:t>Judit Kárpáti</w:t>
            </w:r>
          </w:p>
          <w:p w:rsidR="00DB4822" w:rsidRDefault="00DB4822" w:rsidP="009763E0">
            <w:pPr>
              <w:pStyle w:val="Konzulensektitulus"/>
            </w:pPr>
            <w:r w:rsidRPr="00DB4822">
              <w:t>professor’s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connections between headache and effectivity of the attentional performance in childhood.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the existing researches the percentage of the headache in childhood is 51% and – similarly to the adult population – the tension type is the most prevalent. Only few studies exist for prevalence of the pediatric headache till now. Strong connection was revealed between shy-sensitive characteristic, psychosomatic problems and headache. The incidence of the headache dramatically increases after starting the first class of the elementary school. Many aspects of the executive functions, especially which bulk large in the school performance are establishing and stabilizing in this sensitive period, and additionally the ability of reading is being acquired.</w:t>
      </w:r>
    </w:p>
    <w:p>
      <w:pPr>
        <w:widowControl w:val="on"/>
        <w:pBdr/>
        <w:spacing w:before="240" w:after="240" w:line="240" w:lineRule="auto"/>
        <w:ind w:left="0" w:right="0"/>
        <w:jc w:val="left"/>
      </w:pPr>
      <w:r>
        <w:rPr>
          <w:color w:val="000000"/>
          <w:sz w:val="24"/>
          <w:szCs w:val="24"/>
        </w:rPr>
        <w:br/>
        <w:t xml:space="preserve">From this base in current study I tried to make a comparison between the characteristic of headache and several aspects of attentional processes by 7-12 years old children (average age of 9,1) with results of cognitive reaction-time paradigms. To describe the characteristic of headache I held anamnestic interviews together with the child and the parent(s) and in order to make the attentional profile I used five tasks of Zimmermann and Fimm’s Test for Attentional Performance test battery (Go / No go, Covert Shift of Attention, Eye Movements, Incompatibility and Neglect). I analyzed the reaction time data according to the localization of the pain, the cyclicality, the experienced headache during the examination, awakening with headache and also the experienced headache before a spiritual liability.</w:t>
      </w:r>
    </w:p>
    <w:p>
      <w:pPr>
        <w:widowControl w:val="on"/>
        <w:pBdr/>
        <w:spacing w:before="240" w:after="240" w:line="240" w:lineRule="auto"/>
        <w:ind w:left="0" w:right="0"/>
        <w:jc w:val="left"/>
      </w:pPr>
      <w:r>
        <w:rPr>
          <w:color w:val="000000"/>
          <w:sz w:val="24"/>
          <w:szCs w:val="24"/>
        </w:rPr>
        <w:br/>
        <w:t xml:space="preserve">I found significant difference in reaction times of complete tasks between the individual groups, in addition I experienced unique differences during the situation with saccadic eye movements along all of the investigated variables which can be strongly connected to the attentional functioning.</w:t>
      </w:r>
    </w:p>
    <w:p>
      <w:pPr>
        <w:widowControl w:val="on"/>
        <w:pBdr/>
        <w:spacing w:before="240" w:after="240" w:line="240" w:lineRule="auto"/>
        <w:ind w:left="0" w:right="0"/>
        <w:jc w:val="left"/>
      </w:pPr>
      <w:r>
        <w:rPr>
          <w:color w:val="000000"/>
          <w:sz w:val="24"/>
          <w:szCs w:val="24"/>
        </w:rPr>
        <w:br/>
        <w:t xml:space="preserve">Based on the results of current study a strong connection may be hypothesized between several idiosyncrasy of the children’s headache, the execution time of complicated tasks demanding mental strain, the unbalanced spatial attention, the inhibition, additionally the effectivity of the focused-, and the peripheral attention.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59933">
    <w:multiLevelType w:val="hybridMultilevel"/>
    <w:lvl w:ilvl="0" w:tplc="17585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59933">
    <w:abstractNumId w:val="47959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921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