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HAJNALKA SZABÓ</w:t>
            </w:r>
          </w:p>
          <w:p w:rsidR="00C275A3" w:rsidRDefault="00A96AEC" w:rsidP="00C275A3">
            <w:pPr>
              <w:pStyle w:val="Hallgatokepzes"/>
            </w:pPr>
            <w:r>
              <w:t>kindergarten teacher</w:t>
            </w:r>
            <w:r>
              <w:br/>
            </w:r>
            <w:r w:rsidR="00E77B23">
              <w:t>BA, 5. semester</w:t>
            </w:r>
          </w:p>
          <w:p w:rsidR="00C265CE" w:rsidRPr="009E5FF1" w:rsidRDefault="00E77B23" w:rsidP="009763E0">
            <w:pPr>
              <w:pStyle w:val="Hallgatointezmeny-kar"/>
              <w:rPr>
                <w:b/>
                <w:caps/>
              </w:rPr>
            </w:pPr>
            <w:r>
              <w:t>Eötvös Loránd University</w:t>
            </w:r>
            <w:r w:rsidR="00C275A3">
              <w:br/>
            </w:r>
            <w:r w:rsidR="00DB4822">
              <w:t>Faculty of Primary and Pre-School Education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Júlia Szarka</w:t>
            </w:r>
          </w:p>
          <w:p w:rsidR="00DB4822" w:rsidRDefault="00DB4822" w:rsidP="009763E0">
            <w:pPr>
              <w:pStyle w:val="Konzulensektitulus"/>
            </w:pPr>
            <w:r w:rsidRPr="00DB4822">
              <w:t>assistant professor,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„Two souls one thought.” Zoltán Kodály’s legacy in the interpretation of Katalin Forrai and Klára Kokas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my goal was the objective presentation of the two methods. My hypothesis that the principles of the methods comport but the implementing are different. My research techniques: document analysis and interview.</w:t>
      </w:r>
    </w:p>
    <w:p>
      <w:pPr>
        <w:widowControl w:val="on"/>
        <w:pBdr/>
        <w:spacing w:before="240" w:after="240" w:line="240" w:lineRule="auto"/>
        <w:ind w:left="0" w:right="0"/>
        <w:jc w:val="left"/>
      </w:pPr>
      <w:r>
        <w:rPr>
          <w:color w:val="000000"/>
          <w:sz w:val="24"/>
          <w:szCs w:val="24"/>
        </w:rPr>
        <w:t xml:space="preserve">By dismantling the components of the Forrai and the Kokas methods I recognized their goals, common points and differences.</w:t>
      </w:r>
      <w:r>
        <w:rPr>
          <w:color w:val="000000"/>
          <w:sz w:val="24"/>
          <w:szCs w:val="24"/>
        </w:rPr>
        <w:br/>
        <w:t xml:space="preserve">I compared the two documents by the following viewpoints: the appear of the Kodály’s principles, the genre speciality, general skill development, musical skill development target audience, integration with other specialities, curriculum of songs, teacher image, the role of motion, activity planning and the relationship with the family.</w:t>
      </w:r>
    </w:p>
    <w:p>
      <w:pPr>
        <w:widowControl w:val="on"/>
        <w:pBdr/>
        <w:spacing w:before="240" w:after="240" w:line="240" w:lineRule="auto"/>
        <w:ind w:left="0" w:right="0"/>
        <w:jc w:val="left"/>
      </w:pPr>
      <w:r>
        <w:rPr>
          <w:color w:val="000000"/>
          <w:sz w:val="24"/>
          <w:szCs w:val="24"/>
        </w:rPr>
        <w:t xml:space="preserve">I methodized my results in a tabling and I would like to present two main viewpoints for example. In the method of Forrai the musical skill development is realized by says and nursery rhymes built thematically and grouped by age. In the Kokas method the musical skill development is realized by singing and dancing accented on improvisation.</w:t>
      </w:r>
      <w:r>
        <w:rPr>
          <w:color w:val="000000"/>
          <w:sz w:val="24"/>
          <w:szCs w:val="24"/>
        </w:rPr>
        <w:br/>
        <w:t xml:space="preserve">I found difference in the teacher image as well. At Forrai the teacher revised, sets the example, helps supervises. At Kokas the teacher doesn’t revise, works by personal experiences inspire the children, but doesn’t supervise.</w:t>
      </w:r>
    </w:p>
    <w:p>
      <w:pPr>
        <w:widowControl w:val="on"/>
        <w:pBdr/>
        <w:spacing w:before="240" w:after="240" w:line="240" w:lineRule="auto"/>
        <w:ind w:left="0" w:right="0"/>
        <w:jc w:val="left"/>
      </w:pPr>
      <w:r>
        <w:rPr>
          <w:color w:val="000000"/>
          <w:sz w:val="24"/>
          <w:szCs w:val="24"/>
        </w:rPr>
        <w:t xml:space="preserve">The main questions which came up during the research:</w:t>
      </w:r>
      <w:r>
        <w:rPr>
          <w:color w:val="000000"/>
          <w:sz w:val="24"/>
          <w:szCs w:val="24"/>
        </w:rPr>
        <w:br/>
        <w:t xml:space="preserve">The first question came up during the analysis of the interconnection of the motion and the memory: as an adult whether do we memorize the music before the associating movements or do we memorise the music by the movements?</w:t>
      </w:r>
    </w:p>
    <w:p>
      <w:pPr>
        <w:widowControl w:val="on"/>
        <w:pBdr/>
        <w:spacing w:before="240" w:after="240" w:line="240" w:lineRule="auto"/>
        <w:ind w:left="0" w:right="0"/>
        <w:jc w:val="left"/>
      </w:pPr>
      <w:r>
        <w:rPr>
          <w:color w:val="000000"/>
          <w:sz w:val="24"/>
          <w:szCs w:val="24"/>
        </w:rPr>
        <w:t xml:space="preserve">At the problem of the musical illiteracy the second question which was conceived: can we call illiterate somebody who cannot read notes but has danced at Bach’s music? And can we call musical illiterate somebody who can read notes but has never met the experiential reception of the music?</w:t>
      </w:r>
    </w:p>
    <w:p>
      <w:pPr>
        <w:widowControl w:val="on"/>
        <w:pBdr/>
        <w:spacing w:before="240" w:after="240" w:line="240" w:lineRule="auto"/>
        <w:ind w:left="0" w:right="0"/>
        <w:jc w:val="left"/>
      </w:pPr>
      <w:r>
        <w:rPr>
          <w:color w:val="000000"/>
          <w:sz w:val="24"/>
          <w:szCs w:val="24"/>
        </w:rPr>
        <w:t xml:space="preserve">Based on an interview of a disciple of Kokas Klára: the judgement of the methods is always subjective but who can identify oneself with them, may be successful.</w:t>
      </w:r>
    </w:p>
    <w:p>
      <w:pPr>
        <w:widowControl w:val="on"/>
        <w:pBdr/>
        <w:spacing w:before="240" w:after="240" w:line="240" w:lineRule="auto"/>
        <w:ind w:left="0" w:right="0"/>
        <w:jc w:val="left"/>
      </w:pPr>
      <w:r>
        <w:rPr>
          <w:color w:val="000000"/>
          <w:sz w:val="24"/>
          <w:szCs w:val="24"/>
        </w:rPr>
        <w:t xml:space="preserve">My future plans: the comparison of the practical interpretation of the methods and a more detailed analysis about the question of the aesthetic education.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15533">
    <w:multiLevelType w:val="hybridMultilevel"/>
    <w:lvl w:ilvl="0" w:tplc="515629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15533">
    <w:abstractNumId w:val="706155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80802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