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BENCE MERVAY</w:t>
            </w:r>
          </w:p>
          <w:p w:rsidR="00C275A3" w:rsidRDefault="00A96AEC" w:rsidP="00C275A3">
            <w:pPr>
              <w:pStyle w:val="Hallgatokepzes"/>
            </w:pPr>
            <w:r>
              <w:t>BSc in Energy Engineering</w:t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Mechanical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Attila Kiss</w:t>
            </w:r>
          </w:p>
          <w:p w:rsidR="00DB4822" w:rsidRDefault="00DB4822" w:rsidP="009763E0">
            <w:pPr>
              <w:pStyle w:val="Konzulensektitulus"/>
            </w:pPr>
            <w:r w:rsidRPr="00DB4822">
              <w:t>Research Assistant,  BME, TTK, Institute of Nuclear Techniques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CFD calculations for the 7 rod SCWR benchmark exercise of GIF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this paper, I present my contribution to the GIF (Generation IV International Forum) 7 rod benchmark coordinated by the Delft Technical University. The Institute of Nuclear Techniques has participated in this benchmark as full member of international contributors. I have worked out an interesting sub-task in the benchmark: I have performed a comparative CFD study on the geometric details of spacer grid of the benchmark geometry. Furthermore, I contributed to the evaluation of results of the final CFD model. I present the developed CFD models, results and their evaluation in this paper.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145493">
    <w:multiLevelType w:val="hybridMultilevel"/>
    <w:lvl w:ilvl="0" w:tplc="595795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145493">
    <w:abstractNumId w:val="4614549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95602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