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GYORI</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Balazs Matuszka</w:t>
            </w:r>
          </w:p>
          <w:p w:rsidR="00DB4822" w:rsidRDefault="00DB4822" w:rsidP="00E11062">
            <w:pPr>
              <w:pStyle w:val="Konzulensek"/>
            </w:pPr>
            <w:r w:rsidRPr="00DB4822">
              <w:t>professor’s assistant,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relationship among personality factors, coping strategies and burnout among human resources management and finance sector employees.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International and Hungarian studies on burnout focus on that it is to be found mainly among the employees in the health care system, but several International evidences show that burnout may be found in any occupation.</w:t>
      </w:r>
      <w:r>
        <w:rPr>
          <w:color w:val="000000"/>
          <w:sz w:val="24"/>
          <w:szCs w:val="24"/>
        </w:rPr>
        <w:br/>
        <w:t xml:space="preserve">In this study our aim was to expand the Hungarian burnout studies outside of the field of human services and health care system to other occupational fields. Other aims were to examine the relationship among personality factors, coping strategies and burnout among human resources management (N=82) and finance sector (N=87) employees. Job demands and resources, which play a role in the burnout process, were measured with appropriate statements. To measure personality, coping and burnout we used: Big Five Personality Inventory, brief version of the Ways of Coping Scale, and the Maslach Burnout Inventory.</w:t>
      </w:r>
      <w:r>
        <w:rPr>
          <w:color w:val="000000"/>
          <w:sz w:val="24"/>
          <w:szCs w:val="24"/>
        </w:rPr>
        <w:br/>
        <w:t xml:space="preserve">Results show that employees working in the finance sector reached higher burnout scores than those who work in human resources management (U=2700,50 p&lt;0,05). The findings are consistent with prior evidences about the negative role of job demands (r</w:t>
      </w:r>
      <w:r>
        <w:rPr>
          <w:color w:val="000000"/>
          <w:position w:val="-4"/>
          <w:sz w:val="21"/>
          <w:szCs w:val="21"/>
          <w:vertAlign w:val="subscript"/>
        </w:rPr>
        <w:t xml:space="preserve">s</w:t>
      </w:r>
      <w:r>
        <w:rPr>
          <w:color w:val="000000"/>
          <w:sz w:val="24"/>
          <w:szCs w:val="24"/>
        </w:rPr>
        <w:t xml:space="preserve">=0,45 p&lt;0,001) and protective role of job resources (r</w:t>
      </w:r>
      <w:r>
        <w:rPr>
          <w:color w:val="000000"/>
          <w:position w:val="-4"/>
          <w:sz w:val="21"/>
          <w:szCs w:val="21"/>
          <w:vertAlign w:val="subscript"/>
        </w:rPr>
        <w:t xml:space="preserve">s</w:t>
      </w:r>
      <w:r>
        <w:rPr>
          <w:color w:val="000000"/>
          <w:sz w:val="24"/>
          <w:szCs w:val="24"/>
        </w:rPr>
        <w:t xml:space="preserve">=-0,41 p&lt;0,001) in the development of burnout process. Results show that Neuroticism personality trait is the strongest risk faktor (β=0,42 p&lt;0,001), and Extraversion is the strongest protective faktor (β=-0,32 p&lt;0,001) related to burnout. Among the coping strategies the cognitive restructuring is the strongest protective factor against the burnout process (β=-0,48 p&lt;0,001). According to the findings the Openness personality trait predicts the using of problem solving (β=0,30 p&lt;0,001), and cognitive restructuring (β=0,28 p&lt;0,001). The Neuroticism (β=0,25 p&lt;0,05) and the Extraversion (β=0,2 p&lt;0,05) facilitate emotion-focused coping strategies.</w:t>
      </w:r>
      <w:r>
        <w:rPr>
          <w:color w:val="000000"/>
          <w:sz w:val="24"/>
          <w:szCs w:val="24"/>
        </w:rPr>
        <w:br/>
        <w:t xml:space="preserve">As job stress has a distinct effect on health, the consideration of its economic aspect is essential, as stress also induces sick leave among employees. These findings draw attention to the importance of helping employees coping with stress, and in case of high job demands it is necessary to ensure appropriate job resources, which play a protective role against burnout process.</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74249">
    <w:multiLevelType w:val="hybridMultilevel"/>
    <w:lvl w:ilvl="0" w:tplc="54344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74249">
    <w:abstractNumId w:val="27574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768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