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KRISTOF ALFOLDI</w:t>
            </w:r>
          </w:p>
          <w:p w:rsidR="00C275A3" w:rsidRDefault="00A96AEC" w:rsidP="00C275A3">
            <w:pPr>
              <w:pStyle w:val="Hallgatokepzes"/>
            </w:pPr>
            <w:r>
              <w:t>Department of Social and Economic Geography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Kovacs</w:t>
            </w:r>
          </w:p>
          <w:p w:rsidR="00DB4822" w:rsidRDefault="00DB4822" w:rsidP="00E11062">
            <w:pPr>
              <w:pStyle w:val="Konzulensek"/>
            </w:pPr>
            <w:r w:rsidRPr="00DB4822">
              <w:t>senior research fellow,  Hungarian Academy of Sciences, Research Centre for Astronomy and Earth Sciences, Geographical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Distinct development of rural cities in terms of real estate dynamics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wish to present the differences in the economic and social development of five big rural cities of Hungary (Debrecen, Győr, Miskolc, Pécs, Szeged) in the last 10 years. The study aims to compare the five cities through their real estate dynamics (the number of homes sold, the number of homes built etc.) and the fluctuation of their square meter prices. The starting position, geographical location and urban developmental opportunities vary from city to city. During my research I concentrated on real estate price changes, as this data is available each year broken down to a street level. Also, real estate square meter prices correlate with social and economic indicators well (e.g. employment, unemployment, age structure or personnel income tax base).</w:t>
      </w:r>
      <w:r>
        <w:rPr>
          <w:color w:val="000000"/>
          <w:sz w:val="24"/>
          <w:szCs w:val="24"/>
        </w:rPr>
        <w:br/>
        <w:t xml:space="preserve">I begin by comparing the cities in various aspects, emphasizing on the effects of the crisis in 2008. I continue with examining the differences within each city, searching for disadvantaged and developing districts. Finally, I compare the similar districts to get a comprehensive picture of the differences between the cities, and to tell if the history and the characteristics determine the opportunities of the district.</w:t>
      </w:r>
      <w:r>
        <w:rPr>
          <w:color w:val="000000"/>
          <w:sz w:val="24"/>
          <w:szCs w:val="24"/>
        </w:rPr>
        <w:br/>
        <w:t xml:space="preserve">According to the results of the paper Miskolc has been going through a depression, which only deepened after the global crisis. Győr’s progress is outstanding compared to the other cities and the crisis couldn’t break it down. In the period under review Pécs had good economic potentials (European Capital of Culture in 2010), but the city’s development got stuck during the crisis. Debrecen and Szeged aren’t that economically dynamic, compared to the north-western cities, but their regional role benefits their housing market. Thanks to that they pulled through the recent crisis much better then Miskolc or Pécs.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62767">
    <w:multiLevelType w:val="hybridMultilevel"/>
    <w:lvl w:ilvl="0" w:tplc="58568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62767">
    <w:abstractNumId w:val="676627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2368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