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UHLJÁR</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Simonyi</w:t>
            </w:r>
          </w:p>
          <w:p w:rsidR="00DB4822" w:rsidRDefault="00DB4822" w:rsidP="00E11062">
            <w:pPr>
              <w:pStyle w:val="Konzulensek"/>
            </w:pPr>
            <w:r w:rsidRPr="00DB4822">
              <w:t>temporary instructor, ELTE TTK</w:t>
            </w:r>
          </w:p>
        </w:tc>
      </w:tr>
      <w:tr w:rsidR="00DB4822" w:rsidTr="00DB4822">
        <w:tc>
          <w:tcPr>
            <w:tcW w:w="9854" w:type="dxa"/>
          </w:tcPr>
          <w:p w:rsidR="00DB4822" w:rsidRPr="00DB4822" w:rsidRDefault="00DB4822" w:rsidP="004D7940">
            <w:pPr>
              <w:pStyle w:val="Konzulensek"/>
            </w:pPr>
            <w:r w:rsidRPr="00DB4822">
              <w:t>Gabor Szalkai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 analysis of the ship community transport of the Budapest conurbation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two and a half million-strong population numbers of the Budapest agglomeration special geographical divides the capital city of the Danube, which is a traffic problem, but also a possibility. A significant part of the local residents, so for me, too, is of particular importance for the river. This has laid the main motivation, which launched the investigation of the Danube towards public transport.</w:t>
      </w:r>
      <w:r>
        <w:rPr>
          <w:color w:val="000000"/>
          <w:sz w:val="24"/>
          <w:szCs w:val="24"/>
        </w:rPr>
        <w:br/>
        <w:t xml:space="preserve">The aim of the Budapest agglomeration and shipping community, the assessment of the future development perspective, exploring the conditions. The literature and interviews confirmed that the significance of the Danube-travel beyond satisfying the needs and enhancing the sustainability of the transport links are taken into account.</w:t>
      </w:r>
      <w:r>
        <w:rPr>
          <w:color w:val="000000"/>
          <w:sz w:val="24"/>
          <w:szCs w:val="24"/>
        </w:rPr>
        <w:br/>
        <w:t xml:space="preserve">The development of transport in the region - and in the context of mobility igényből be - as far as possible be based on scientific grounds. The present situation and the processes implicitly claimed to past development - of course limited - exploration, special emphasis was given to the institutional background of car traffic and transport within which.</w:t>
      </w:r>
      <w:r>
        <w:rPr>
          <w:color w:val="000000"/>
          <w:sz w:val="24"/>
          <w:szCs w:val="24"/>
        </w:rPr>
        <w:br/>
        <w:t xml:space="preserve">Clear without all this, does the Danube transport potential, which in recent decades far neglected area of investigation, in fact, was the decisive Budapest today and in the narrow sense.</w:t>
      </w:r>
      <w:r>
        <w:rPr>
          <w:color w:val="000000"/>
          <w:sz w:val="24"/>
          <w:szCs w:val="24"/>
        </w:rPr>
        <w:br/>
        <w:t xml:space="preserve">The July 1, 2012, initiated by the public shipping BKK currently plays a more tourist role and not lived up to initial expectations. Therefore, no significant improvement in the need for no reason, which is also made of the feasibility study. The foreign examples (Brisbrane, London, Rotterdam) may help in choosing the best solution. Finally, the paper - a kind of a conclusion - describes the definition of relations suburban-Budapest main aspects, as it became obvious that the key importance of well-chosen placement of the nodes.</w:t>
      </w:r>
      <w:r>
        <w:rPr>
          <w:color w:val="000000"/>
          <w:sz w:val="24"/>
          <w:szCs w:val="24"/>
        </w:rPr>
        <w:br/>
        <w:t xml:space="preserve">In conclusion, we can say that it is essential for strong network integration. Appropriately configured ports not only become competitive in other branches of transport, but also urban centers are also micro-excitable one. All of these key conditions for the development of parking facilities, the organization and the revitalization of the areas along the Danube feeder traffic.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11935">
    <w:multiLevelType w:val="hybridMultilevel"/>
    <w:lvl w:ilvl="0" w:tplc="96263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11935">
    <w:abstractNumId w:val="96611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796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