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BARTA FRUZSINA</w:t>
            </w:r>
          </w:p>
          <w:p w:rsidR="00C275A3" w:rsidRDefault="00A96AEC" w:rsidP="00C275A3">
            <w:pPr>
              <w:pStyle w:val="Hallgatokepzes"/>
            </w:pPr>
            <w:r>
              <w:t>Andragógia</w:t>
            </w:r>
            <w:r>
              <w:br/>
            </w:r>
            <w:r w:rsidR="00E77B23">
              <w:t>MA,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Márkus Edina Ilona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Élethosszig tartó tanulás a nemzetközi statisztikák és felmérések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huszadik század második felében kialakult az élethosszig tartó tanulás koncepciója, és az egész világra kiterjedő, a nemzetközi oktatáspolitikát meghatározó elvvé vált. Később a nemzetközi összefogás is kialakult a területen, az UNESCO és az OECD által koordináltan. Európában elsősorban az Európai Unió számít a terület koordinálásáért és fejlesztésért felelős fő szervezetnek, mely dokumentumok és ajánlások, majd később konkrét cselekvési tervek és munkaprogramok közre adásával járul hozzá a terület fejlődéséhez.</w:t>
      </w:r>
      <w:r>
        <w:rPr>
          <w:color w:val="000000"/>
          <w:sz w:val="24"/>
          <w:szCs w:val="24"/>
        </w:rPr>
        <w:br/>
        <w:t xml:space="preserve">Mivel az élethosszig tartó tanulás fejlesztése társadalmi és gazdasági érdek, a területtel foglalkozó nemzetközi statisztikai adatbázisok és felmérések is egyre hangsúlyosabb szerephez jutnak, mivel egyrészt segítenek a már elért eredmények nyomon követésében, másrészt a fejlesztés eszközei lehetnek.</w:t>
      </w:r>
      <w:r>
        <w:rPr>
          <w:color w:val="000000"/>
          <w:sz w:val="24"/>
          <w:szCs w:val="24"/>
        </w:rPr>
        <w:br/>
        <w:t xml:space="preserve">Dolgozatom célja ezen adatbázisok és felmérések közül a legjelentősebbek bemutatása, az általuk mutatott eredmények elemzése és értelmezése és az élethosszig tartó tanulás különböző aspektusaiban kiemelkedően teljesítő országok azonosítása és a kiemelkedő teljesítmény lehetséges okainak feltárása.</w:t>
      </w:r>
      <w:r>
        <w:rPr>
          <w:color w:val="000000"/>
          <w:sz w:val="24"/>
          <w:szCs w:val="24"/>
        </w:rPr>
        <w:br/>
        <w:t xml:space="preserve">Ezen statisztikai adatbázisok és felmérések által mutatott eredményeket vizsgálva, azt tapasztalhatjuk, hogy általában ugyanazok az országok teljesítenek magas szinten a tanulás vizsgálatának legtöbb területén (vagyis Dánia, Finnország, Hollandia és Svédország), és az alacsony szinten teljesítők között és ugyanazok az országok jelennek meg (általában Bulgária, Görögország, Magyarország és Románia). Természetesen a sorrend a tanulás különböző területeit vizsgáló felmérések nyomán sokszor differenciálódik, illetve egészül ki más országokkal.</w:t>
      </w:r>
      <w:r>
        <w:rPr>
          <w:color w:val="000000"/>
          <w:sz w:val="24"/>
          <w:szCs w:val="24"/>
        </w:rPr>
        <w:br/>
        <w:t xml:space="preserve">Az élethosszig tartó tanulás terén magas részvételi arányokat mutató országok esetében ez teljesítmény több évre visszamenően, stabilan jelen van, illetve az országok különböző gazdasági, és egyéb, a tanulási teljesítményre hatást gyakorló mutató esetében ugyanezeket az országokat találjuk a lista elején. Hasonló a helyzet a tanulás különböző területeit vizsgáló nemzetközi felmérések eredményeinek esetében is. A statisztikák szerint magas teljesítményt nyújtó országok általában a felmérések eredményeiben is az átlag fölött teljesítenek.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930068">
    <w:multiLevelType w:val="hybridMultilevel"/>
    <w:lvl w:ilvl="0" w:tplc="627575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930068">
    <w:abstractNumId w:val="1093006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67163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