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BARTA</w:t>
            </w:r>
          </w:p>
          <w:p w:rsidR="00C275A3" w:rsidRDefault="00A96AEC" w:rsidP="00C275A3">
            <w:pPr>
              <w:pStyle w:val="Hallgatokepzes"/>
            </w:pPr>
            <w:r>
              <w:t>Andragogue</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Ilona Márkus</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Lifelong learning in the light of the international statistics and surveys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second half of the 20. century, the concept of the lifelong learning was involved, and determined the international educational policies. Later, the international cooperation was formed, coordinating by the UNESCO and the OECD. In Europe, the main body, which is responsible for coordination and development, is the European Union. It helps the development with documents and reccommendations, and later, with publishing concrete action plans and work programmes.</w:t>
      </w:r>
      <w:r>
        <w:rPr>
          <w:color w:val="000000"/>
          <w:sz w:val="24"/>
          <w:szCs w:val="24"/>
        </w:rPr>
        <w:br/>
        <w:t xml:space="preserve">Because the development of the lifelong learning has social and economic interests, the international statistical databases and surveys have crucial role. On the one hand, they can help to follow up the results, on the other hand, they can be the instruments of development.</w:t>
      </w:r>
      <w:r>
        <w:rPr>
          <w:color w:val="000000"/>
          <w:sz w:val="24"/>
          <w:szCs w:val="24"/>
        </w:rPr>
        <w:br/>
        <w:t xml:space="preserve">The aim of my work, to present these statistical databases and surveys, to analyze and interpret the results. Then, identify countries, which shows outstanding performance in various aspects of the lifelong learning and explore the possible causes of this outstanding performance.</w:t>
      </w:r>
      <w:r>
        <w:rPr>
          <w:color w:val="000000"/>
          <w:sz w:val="24"/>
          <w:szCs w:val="24"/>
        </w:rPr>
        <w:br/>
        <w:t xml:space="preserve">According of the databases and the results of the surveys, similar countries performs high level. The north-european countries (Denmark, Finland, Netherlands and Sweden) show outstanding performance in various aspects of the education. The central-european and the south-european countries (usually Bulgaria, Romania, Greece and Hungary) show low performance. Of course, the order of the countries change by the different aspects of the education and sometimes supplemented with other countires.</w:t>
      </w:r>
      <w:r>
        <w:rPr>
          <w:color w:val="000000"/>
          <w:sz w:val="24"/>
          <w:szCs w:val="24"/>
        </w:rPr>
        <w:br/>
        <w:t xml:space="preserve">The countries, that show high participation rate in the lifelong learning, also show high performance in other financial and non-financial education indicators.</w:t>
      </w:r>
      <w:r>
        <w:rPr>
          <w:color w:val="000000"/>
          <w:sz w:val="24"/>
          <w:szCs w:val="24"/>
        </w:rPr>
        <w:br/>
        <w:t xml:space="preserve">The results of the international surveys are kind of similars to the results of the statistical databases. The Nordic countries usually perform above, and the central-european and south-european countries usually perform below the avarage.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26625">
    <w:multiLevelType w:val="hybridMultilevel"/>
    <w:lvl w:ilvl="0" w:tplc="74848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26625">
    <w:abstractNumId w:val="99126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28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