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LŐRINCZ PÉTER</w:t>
            </w:r>
          </w:p>
          <w:p w:rsidR="00C275A3" w:rsidRDefault="00A96AEC" w:rsidP="00C275A3">
            <w:pPr>
              <w:pStyle w:val="Hallgatokepzes"/>
            </w:pPr>
            <w:r>
              <w:t>Physics</w:t>
            </w:r>
            <w:r>
              <w:br/>
            </w:r>
            <w:r w:rsidR="00E77B23">
              <w:t>BSc,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AURÉL PRÓSZ</w:t>
            </w:r>
          </w:p>
          <w:p w:rsidR="00DB4822" w:rsidRDefault="00C275A3" w:rsidP="004D7940">
            <w:pPr>
              <w:pStyle w:val="Hallgatokepzes"/>
            </w:pPr>
            <w:r>
              <w:t>Physics</w:t>
            </w:r>
            <w:r w:rsidR="00A96AEC">
              <w:br/>
              <w:t>BSc,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Robert Horvath</w:t>
            </w:r>
          </w:p>
          <w:p w:rsidR="00DB4822" w:rsidRDefault="00DB4822" w:rsidP="009763E0">
            <w:pPr>
              <w:pStyle w:val="Konzulensektitulus"/>
            </w:pPr>
            <w:r w:rsidRPr="00DB4822">
              <w:t>senior research fellow,  Research Centre for Natural Sciences
Institute for Technical Physics and Materials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protein adsorption with optical and mechanical based label-free biosensors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The application of biosensors are increasingly important in the pharmaceuitcal and materials sciences, as well in the industry. Continual development is needed for more reliable and sensitive devices for the solvation of the highly compound problems.</w:t>
      </w:r>
    </w:p>
    <w:p>
      <w:pPr>
        <w:widowControl w:val="on"/>
        <w:pBdr/>
        <w:spacing w:before="240" w:after="240" w:line="240" w:lineRule="auto"/>
        <w:ind w:left="0" w:right="0"/>
        <w:jc w:val="left"/>
      </w:pPr>
      <w:r>
        <w:rPr>
          <w:color w:val="000000"/>
          <w:sz w:val="24"/>
          <w:szCs w:val="24"/>
        </w:rPr>
        <w:t xml:space="preserve">We performed measurements with two – recently under development and with different principles operating - biosensors during our Scientific Students' Associations. Our project was the testing, the sensitivity evaluating and the detecting later the solution of problems during the experiments .</w:t>
      </w:r>
      <w:r>
        <w:rPr>
          <w:color w:val="000000"/>
          <w:sz w:val="24"/>
          <w:szCs w:val="24"/>
        </w:rPr>
        <w:br/>
        <w:t xml:space="preserve">We became familiar with the basic theoretical and practical background of the equipments, and the nature and application of the materials used for the experiments during our investigation. We performed separate and parallel measurements as well with both equipments so as to achieve our goals.</w:t>
      </w:r>
      <w:r>
        <w:rPr>
          <w:color w:val="000000"/>
          <w:sz w:val="24"/>
          <w:szCs w:val="24"/>
        </w:rPr>
        <w:br/>
        <w:t xml:space="preserve">The biosensoric measurements based on optic principals were performed with the GCI (Grating Coupled Interferometry ) biosensor. The equipment was recently installed in our laboratory within an industrial project – we were the first to be able to test this new technique. Our calibrational and pilot measurements opened the path towards the most important applicational field of this equipment: the examination of the adhesion of the living cells.</w:t>
      </w:r>
      <w:r>
        <w:rPr>
          <w:color w:val="000000"/>
          <w:sz w:val="24"/>
          <w:szCs w:val="24"/>
        </w:rPr>
        <w:br/>
        <w:t xml:space="preserve">The other, mechanically based biosensor, the QCM3000 ( Quartz Crystal Microbalance) is distributed by Microvacuum. The advantage of this equipment is that thus we can get mechanical information supplemented the optical sensor data from the biological thin layers (proteins, adherent cells).</w:t>
      </w:r>
      <w:r>
        <w:rPr>
          <w:color w:val="000000"/>
          <w:sz w:val="24"/>
          <w:szCs w:val="24"/>
        </w:rPr>
        <w:br/>
        <w:t xml:space="preserve">We developed a MATLAB algorythm for the processing of the data gathered during the experiments, and we performed basic calibration measurements on the installation.</w:t>
      </w:r>
      <w:r>
        <w:rPr>
          <w:color w:val="000000"/>
          <w:sz w:val="24"/>
          <w:szCs w:val="24"/>
        </w:rPr>
        <w:br/>
        <w:t xml:space="preserve">Our work was performed in the Nanobiosensoric Laboratory of the The Institute for Technical Physics and Materials Science of the Research Centre for Natural Sciences.</w:t>
      </w:r>
      <w:r>
        <w:rPr>
          <w:color w:val="000000"/>
          <w:sz w:val="24"/>
          <w:szCs w:val="24"/>
        </w:rPr>
        <w:br/>
        <w:t xml:space="preserve">Our investigation devoted to the foundation of the further experiments, and we gained significant practical experiences during our laboratory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76492">
    <w:multiLevelType w:val="hybridMultilevel"/>
    <w:lvl w:ilvl="0" w:tplc="7159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76492">
    <w:abstractNumId w:val="23276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039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