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FÜLÖP</w:t>
            </w:r>
          </w:p>
          <w:p w:rsidR="00C275A3" w:rsidRDefault="00A96AEC" w:rsidP="00C275A3">
            <w:pPr>
              <w:pStyle w:val="Hallgatokepzes"/>
            </w:pPr>
            <w:r>
              <w:t>Biophysics </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Négyessy, PhD</w:t>
            </w:r>
          </w:p>
          <w:p w:rsidR="00DB4822" w:rsidRDefault="00DB4822" w:rsidP="009763E0">
            <w:pPr>
              <w:pStyle w:val="Konzulensektitulus"/>
            </w:pPr>
            <w:r w:rsidRPr="00DB4822">
              <w:t>senior research fellow,  The Complex Systems and Computational Neuroscience Group
KFKI Research Institute for Particle and Nuclear Physics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Network model of cortical interactions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Areas of the cerebral cortex are regions of significant signal flow via their numerous in- and outputs. However, our understanding is greatly limited in regard to the large scale signal flow in the cortex. The aim of our study was to model the network of interactions of the cortical areas and explore the characteristics of the cortical interaction network by using data obtained from the macaque brain. In the large-scale, directed anatomical network interactions between the cortical areas are represented by two-step paths, which can be derived as a line graph of the original network. The derived line graph possesses the same topology as the original network and therefore provides the opportunity to study cortical interactions in a realistic model. The original network had 44 nodes and 645 connections providing 10 922 nodes representing two-step paths and 18 614 edges between them in the derived interaction network. Cortical networks are characterized by high level (75%) of reciprocity, which was significantly reduced in the interaction network (0,26%). However, only a slight increase of the diameter and the average path length were observed in spite of the large increase of the network size and the concomitant decrease of the density. Furthermore, node betweenness centrality distributions of the interaction and original networks negatively correlated. . The distribution of degrees and betweenness values of nodes derived from the individual areas of the original network were similar to those observed in the original network including the full set of areas. In summary, the combination of the in-and outputs of the cortical areas results in a network which allows complex signal flow. by exhibiting short path lengths, low reciprocity and high clustering. Our results also revealed that areas with marginal positions in the original network play prominent role in cortical signal flow via their connections with the central areas. The findings could also help the proper localization of implantable brain-computer interfaces in the cerebral cortex.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16630">
    <w:multiLevelType w:val="hybridMultilevel"/>
    <w:lvl w:ilvl="0" w:tplc="53602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16630">
    <w:abstractNumId w:val="18816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137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